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1B34AF1" w:rsidR="00E90E49" w:rsidRPr="00CE0424" w:rsidRDefault="00E90E49" w:rsidP="00E35559">
      <w:pPr>
        <w:pStyle w:val="3GPPHeader"/>
        <w:spacing w:after="60"/>
        <w:rPr>
          <w:sz w:val="32"/>
          <w:szCs w:val="32"/>
          <w:highlight w:val="yellow"/>
        </w:rPr>
      </w:pPr>
      <w:r w:rsidRPr="00CE0424">
        <w:t>3GPP TSG-RAN WG</w:t>
      </w:r>
      <w:r w:rsidR="00407734">
        <w:t>4</w:t>
      </w:r>
      <w:r w:rsidRPr="00CE0424">
        <w:t xml:space="preserve"> </w:t>
      </w:r>
      <w:r w:rsidR="008F1C4E">
        <w:t xml:space="preserve">Meeting </w:t>
      </w:r>
      <w:r w:rsidR="00B307FA">
        <w:t>#112bis</w:t>
      </w:r>
      <w:r w:rsidRPr="00CE0424">
        <w:tab/>
      </w:r>
      <w:r w:rsidR="006131FB">
        <w:tab/>
      </w:r>
      <w:r w:rsidR="006131FB">
        <w:tab/>
      </w:r>
      <w:r w:rsidR="006131FB">
        <w:tab/>
      </w:r>
      <w:r w:rsidR="006131FB">
        <w:tab/>
      </w:r>
      <w:r w:rsidR="006131FB">
        <w:tab/>
      </w:r>
      <w:r w:rsidR="006131FB">
        <w:tab/>
      </w:r>
      <w:r w:rsidR="00091557" w:rsidRPr="006414B7">
        <w:rPr>
          <w:sz w:val="32"/>
          <w:szCs w:val="32"/>
        </w:rPr>
        <w:t>R</w:t>
      </w:r>
      <w:r w:rsidR="00407734" w:rsidRPr="006414B7">
        <w:rPr>
          <w:sz w:val="32"/>
          <w:szCs w:val="32"/>
        </w:rPr>
        <w:t>4</w:t>
      </w:r>
      <w:r w:rsidR="00091557" w:rsidRPr="006414B7">
        <w:rPr>
          <w:sz w:val="32"/>
          <w:szCs w:val="32"/>
        </w:rPr>
        <w:t>-</w:t>
      </w:r>
      <w:r w:rsidR="000E4B53" w:rsidRPr="006414B7">
        <w:rPr>
          <w:sz w:val="32"/>
          <w:szCs w:val="32"/>
        </w:rPr>
        <w:t>2416175</w:t>
      </w:r>
    </w:p>
    <w:p w14:paraId="0CE7B7E6" w14:textId="626328EA" w:rsidR="00E90E49" w:rsidRPr="00CE0424" w:rsidRDefault="00B307FA" w:rsidP="00311702">
      <w:pPr>
        <w:pStyle w:val="3GPPHeader"/>
      </w:pPr>
      <w:r w:rsidRPr="008358DD">
        <w:t>Hefei</w:t>
      </w:r>
      <w:r w:rsidR="0027144F" w:rsidRPr="008358DD">
        <w:t xml:space="preserve">, </w:t>
      </w:r>
      <w:r w:rsidRPr="008358DD">
        <w:t>China</w:t>
      </w:r>
      <w:r w:rsidR="0027144F" w:rsidRPr="008358DD">
        <w:t xml:space="preserve">, </w:t>
      </w:r>
      <w:r w:rsidRPr="008358DD">
        <w:t>October</w:t>
      </w:r>
      <w:r w:rsidR="0027144F" w:rsidRPr="008358DD">
        <w:t xml:space="preserve"> </w:t>
      </w:r>
      <w:r w:rsidR="008358DD" w:rsidRPr="008358DD">
        <w:t>14</w:t>
      </w:r>
      <w:r w:rsidR="008358DD" w:rsidRPr="008358DD">
        <w:rPr>
          <w:vertAlign w:val="superscript"/>
        </w:rPr>
        <w:t>th</w:t>
      </w:r>
      <w:r w:rsidR="008358DD" w:rsidRPr="008358DD">
        <w:rPr>
          <w:lang w:val="en-IN"/>
        </w:rPr>
        <w:t>-</w:t>
      </w:r>
      <w:r w:rsidR="008358DD" w:rsidRPr="008358DD">
        <w:t>18</w:t>
      </w:r>
      <w:r w:rsidR="008358DD" w:rsidRPr="008358DD">
        <w:rPr>
          <w:vertAlign w:val="superscript"/>
        </w:rPr>
        <w:t>th</w:t>
      </w:r>
      <w:r w:rsidR="008358DD" w:rsidRPr="008358DD">
        <w:t xml:space="preserve"> 2024</w:t>
      </w:r>
    </w:p>
    <w:p w14:paraId="3086AC07" w14:textId="77777777" w:rsidR="00E90E49" w:rsidRPr="00CE0424" w:rsidRDefault="00E90E49" w:rsidP="00357380">
      <w:pPr>
        <w:pStyle w:val="3GPPHeader"/>
      </w:pPr>
    </w:p>
    <w:p w14:paraId="3982483C" w14:textId="5EC0CEB8" w:rsidR="00E90E49" w:rsidRPr="002E592D" w:rsidRDefault="00E90E49" w:rsidP="00311702">
      <w:pPr>
        <w:pStyle w:val="3GPPHeader"/>
        <w:rPr>
          <w:sz w:val="22"/>
        </w:rPr>
      </w:pPr>
      <w:r w:rsidRPr="002E592D">
        <w:rPr>
          <w:sz w:val="22"/>
        </w:rPr>
        <w:t>Agenda Item:</w:t>
      </w:r>
      <w:r w:rsidRPr="002E592D">
        <w:rPr>
          <w:sz w:val="22"/>
        </w:rPr>
        <w:tab/>
      </w:r>
      <w:r w:rsidR="000E4B53" w:rsidRPr="002E592D">
        <w:rPr>
          <w:sz w:val="22"/>
        </w:rPr>
        <w:t>6.8.2.1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11DAB1A" w:rsidR="00E90E49" w:rsidRPr="00CE0424" w:rsidRDefault="003D3C45" w:rsidP="00311702">
      <w:pPr>
        <w:pStyle w:val="3GPPHeader"/>
        <w:rPr>
          <w:sz w:val="22"/>
        </w:rPr>
      </w:pPr>
      <w:r>
        <w:rPr>
          <w:sz w:val="22"/>
        </w:rPr>
        <w:t>Title:</w:t>
      </w:r>
      <w:r w:rsidR="00E90E49" w:rsidRPr="00CE0424">
        <w:rPr>
          <w:sz w:val="22"/>
        </w:rPr>
        <w:tab/>
      </w:r>
      <w:r w:rsidR="009C2814" w:rsidRPr="009C2814">
        <w:rPr>
          <w:sz w:val="22"/>
        </w:rPr>
        <w:t>On Co-existence simulation assumption considerations for NR-NTN and NB-IoT-NTN HP UE</w:t>
      </w:r>
    </w:p>
    <w:p w14:paraId="025260C1" w14:textId="5BBA104F" w:rsidR="00E90E49" w:rsidRPr="00CE0424" w:rsidRDefault="00E90E49" w:rsidP="00D546FF">
      <w:pPr>
        <w:pStyle w:val="3GPPHeader"/>
        <w:rPr>
          <w:sz w:val="22"/>
        </w:rPr>
      </w:pPr>
      <w:r w:rsidRPr="00CE0424">
        <w:rPr>
          <w:sz w:val="22"/>
        </w:rPr>
        <w:t>Document for:</w:t>
      </w:r>
      <w:r w:rsidRPr="00CE0424">
        <w:rPr>
          <w:sz w:val="22"/>
        </w:rPr>
        <w:tab/>
      </w:r>
      <w:r w:rsidR="009103A5">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375283A" w14:textId="10E66F9B" w:rsidR="004C3090" w:rsidRDefault="005D0750" w:rsidP="004C3090">
      <w:pPr>
        <w:rPr>
          <w:lang w:val="en-GB" w:eastAsia="ja-JP"/>
        </w:rPr>
      </w:pPr>
      <w:r>
        <w:rPr>
          <w:lang w:val="en-GB" w:eastAsia="ja-JP"/>
        </w:rPr>
        <w:t xml:space="preserve">In the last RAN plenary meeting RAN#104, there was an </w:t>
      </w:r>
      <w:r w:rsidRPr="00C4476E">
        <w:rPr>
          <w:lang w:val="en-GB" w:eastAsia="ja-JP"/>
        </w:rPr>
        <w:t>agreement for a new Rel-19 RAN4 led WI Enhanced requirements and test methodology for NR and IoT NTN [1].</w:t>
      </w:r>
      <w:r>
        <w:rPr>
          <w:lang w:val="en-GB" w:eastAsia="ja-JP"/>
        </w:rPr>
        <w:t xml:space="preserve"> </w:t>
      </w:r>
      <w:r w:rsidR="004C3090">
        <w:rPr>
          <w:lang w:val="en-GB" w:eastAsia="ja-JP"/>
        </w:rPr>
        <w:t>The baseline assumptions agreed in RAN4#112 meeting have been captured in WF [</w:t>
      </w:r>
      <w:r w:rsidR="0084466B">
        <w:rPr>
          <w:lang w:val="en-GB" w:eastAsia="ja-JP"/>
        </w:rPr>
        <w:t>2</w:t>
      </w:r>
      <w:r w:rsidR="004C3090">
        <w:rPr>
          <w:lang w:val="en-GB" w:eastAsia="ja-JP"/>
        </w:rPr>
        <w:t>].</w:t>
      </w:r>
    </w:p>
    <w:p w14:paraId="231E64EA" w14:textId="57A9F9B7" w:rsidR="00477768" w:rsidRPr="004C3090" w:rsidRDefault="004107E7" w:rsidP="004C3090">
      <w:pPr>
        <w:rPr>
          <w:rFonts w:cs="Arial"/>
          <w:szCs w:val="20"/>
          <w:lang w:val="en-IN"/>
        </w:rPr>
      </w:pPr>
      <w:r w:rsidRPr="00D72FEA">
        <w:rPr>
          <w:rFonts w:cs="Arial"/>
          <w:szCs w:val="20"/>
        </w:rPr>
        <w:t xml:space="preserve">This contribution intends to trigger </w:t>
      </w:r>
      <w:r w:rsidR="002232F9">
        <w:rPr>
          <w:rFonts w:cs="Arial"/>
          <w:szCs w:val="20"/>
        </w:rPr>
        <w:t xml:space="preserve">further </w:t>
      </w:r>
      <w:r w:rsidRPr="00D72FEA">
        <w:rPr>
          <w:rFonts w:cs="Arial"/>
          <w:szCs w:val="20"/>
        </w:rPr>
        <w:t xml:space="preserve">discussion on co-existence studies assumptions </w:t>
      </w:r>
      <w:r w:rsidR="003E5AFC">
        <w:rPr>
          <w:rFonts w:cs="Arial"/>
          <w:szCs w:val="20"/>
        </w:rPr>
        <w:t xml:space="preserve">focusing on adjacent channel interference between </w:t>
      </w:r>
      <w:r w:rsidR="004C3090">
        <w:rPr>
          <w:rFonts w:cs="Arial"/>
          <w:szCs w:val="20"/>
        </w:rPr>
        <w:t>NTN and TN networks based on the Rel</w:t>
      </w:r>
      <w:r w:rsidR="004C3090">
        <w:rPr>
          <w:rFonts w:cs="Arial"/>
          <w:szCs w:val="20"/>
          <w:lang w:val="en-IN"/>
        </w:rPr>
        <w:t xml:space="preserve">ease – </w:t>
      </w:r>
      <w:r w:rsidR="0084466B">
        <w:rPr>
          <w:rFonts w:cs="Arial"/>
          <w:szCs w:val="20"/>
          <w:lang w:val="en-IN"/>
        </w:rPr>
        <w:t>17 NTN</w:t>
      </w:r>
      <w:r w:rsidR="004C3090">
        <w:rPr>
          <w:rFonts w:cs="Arial"/>
          <w:szCs w:val="20"/>
          <w:lang w:val="en-IN"/>
        </w:rPr>
        <w:t xml:space="preserve"> co-existence studies [</w:t>
      </w:r>
      <w:r w:rsidR="0084466B">
        <w:rPr>
          <w:rFonts w:cs="Arial"/>
          <w:szCs w:val="20"/>
          <w:lang w:val="en-IN"/>
        </w:rPr>
        <w:t>3</w:t>
      </w:r>
      <w:r w:rsidR="004C3090">
        <w:rPr>
          <w:rFonts w:cs="Arial"/>
          <w:szCs w:val="20"/>
          <w:lang w:val="en-IN"/>
        </w:rPr>
        <w:t>].</w:t>
      </w:r>
    </w:p>
    <w:p w14:paraId="3CB81531" w14:textId="40003553" w:rsidR="00405F20" w:rsidRPr="00405F20" w:rsidRDefault="00230D18" w:rsidP="009752D7">
      <w:pPr>
        <w:pStyle w:val="Heading1"/>
      </w:pPr>
      <w:bookmarkStart w:id="0" w:name="_Ref178064866"/>
      <w:r>
        <w:t>2</w:t>
      </w:r>
      <w:r>
        <w:tab/>
      </w:r>
      <w:bookmarkEnd w:id="0"/>
      <w:r w:rsidR="00C0586F">
        <w:t>Co-existence s</w:t>
      </w:r>
      <w:r w:rsidR="000B6A13">
        <w:t>imulation assumptions</w:t>
      </w:r>
    </w:p>
    <w:p w14:paraId="4CCB8823" w14:textId="1320F620" w:rsidR="00DB7D16" w:rsidRDefault="00967E5D" w:rsidP="00EC32FA">
      <w:pPr>
        <w:pStyle w:val="Heading3"/>
      </w:pPr>
      <w:r>
        <w:t>2.1</w:t>
      </w:r>
      <w:r w:rsidR="00EC32FA">
        <w:tab/>
      </w:r>
      <w:r w:rsidR="003E1015">
        <w:t xml:space="preserve">NTN </w:t>
      </w:r>
      <w:r w:rsidR="00354EF2">
        <w:t>Co-existence scenarios</w:t>
      </w:r>
    </w:p>
    <w:p w14:paraId="69907BC3" w14:textId="5ED8AC13" w:rsidR="004C72A3" w:rsidRDefault="00320224" w:rsidP="00354EF2">
      <w:pPr>
        <w:rPr>
          <w:rFonts w:eastAsia="Times New Roman" w:cs="Arial"/>
          <w:szCs w:val="20"/>
          <w:lang w:val="en-IN" w:eastAsia="en-SE"/>
        </w:rPr>
      </w:pPr>
      <w:r>
        <w:rPr>
          <w:rFonts w:eastAsia="Times New Roman" w:cs="Arial"/>
          <w:szCs w:val="20"/>
          <w:lang w:val="en-IN" w:eastAsia="en-SE"/>
        </w:rPr>
        <w:t xml:space="preserve">Based on our pre-liminary results in [4], </w:t>
      </w:r>
      <w:r w:rsidRPr="007C22FB">
        <w:rPr>
          <w:rFonts w:eastAsia="Times New Roman" w:cs="Arial"/>
          <w:szCs w:val="20"/>
          <w:lang w:val="en-IN" w:eastAsia="en-SE"/>
        </w:rPr>
        <w:t>the</w:t>
      </w:r>
      <w:r>
        <w:rPr>
          <w:rFonts w:eastAsia="Times New Roman" w:cs="Arial"/>
          <w:szCs w:val="20"/>
          <w:lang w:val="en-IN" w:eastAsia="en-SE"/>
        </w:rPr>
        <w:t xml:space="preserve"> ACIR requirements as worst case are derived when no isolation distance is considered in Case 4. The ACIR requirements however get relaxed with the introduction of isolation distance of 1.5 km, possibly due to reduced interference.</w:t>
      </w:r>
    </w:p>
    <w:p w14:paraId="14B5F691" w14:textId="3ACE1C04" w:rsidR="00320224" w:rsidRDefault="00320224" w:rsidP="00320224">
      <w:pPr>
        <w:pStyle w:val="Proposal"/>
        <w:rPr>
          <w:lang w:val="en-GB"/>
        </w:rPr>
      </w:pPr>
      <w:bookmarkStart w:id="1" w:name="_Toc179215657"/>
      <w:r>
        <w:rPr>
          <w:lang w:val="en-GB"/>
        </w:rPr>
        <w:t xml:space="preserve">RAN4 </w:t>
      </w:r>
      <w:r w:rsidR="005A792F">
        <w:rPr>
          <w:lang w:val="en-GB"/>
        </w:rPr>
        <w:t>to</w:t>
      </w:r>
      <w:r>
        <w:rPr>
          <w:lang w:val="en-GB"/>
        </w:rPr>
        <w:t xml:space="preserve"> prioritize Case 4 </w:t>
      </w:r>
      <w:r w:rsidR="00F55E18">
        <w:rPr>
          <w:lang w:val="en-GB"/>
        </w:rPr>
        <w:t>when TN UL is victim for co-existence evaluation</w:t>
      </w:r>
      <w:r w:rsidR="002E592D">
        <w:rPr>
          <w:lang w:val="en-GB"/>
        </w:rPr>
        <w:t>, considering it as the worst-case.</w:t>
      </w:r>
      <w:bookmarkEnd w:id="1"/>
      <w:r w:rsidR="002E592D">
        <w:rPr>
          <w:lang w:val="en-GB"/>
        </w:rPr>
        <w:t xml:space="preserve"> </w:t>
      </w:r>
      <w:r w:rsidR="00F55E18">
        <w:rPr>
          <w:lang w:val="en-GB"/>
        </w:rPr>
        <w:t xml:space="preserve"> </w:t>
      </w:r>
    </w:p>
    <w:p w14:paraId="29D75697" w14:textId="77777777" w:rsidR="00EC32FA" w:rsidRDefault="00EC32FA" w:rsidP="00354EF2">
      <w:pPr>
        <w:rPr>
          <w:lang w:val="en-GB" w:eastAsia="ja-JP"/>
        </w:rPr>
      </w:pPr>
    </w:p>
    <w:p w14:paraId="3508AC44" w14:textId="66395FEE" w:rsidR="00EC32FA" w:rsidRDefault="00EC32FA" w:rsidP="00354EF2">
      <w:pPr>
        <w:rPr>
          <w:lang w:val="en-GB" w:eastAsia="ja-JP"/>
        </w:rPr>
      </w:pPr>
    </w:p>
    <w:p w14:paraId="3B884286" w14:textId="77777777" w:rsidR="00EC32FA" w:rsidRDefault="00EC32FA" w:rsidP="00354EF2">
      <w:pPr>
        <w:rPr>
          <w:lang w:val="en-GB" w:eastAsia="ja-JP"/>
        </w:rPr>
      </w:pPr>
    </w:p>
    <w:p w14:paraId="6D9FADCE" w14:textId="77777777" w:rsidR="00EC32FA" w:rsidRDefault="00EC32FA" w:rsidP="00354EF2">
      <w:pPr>
        <w:rPr>
          <w:lang w:val="en-GB" w:eastAsia="ja-JP"/>
        </w:rPr>
      </w:pPr>
    </w:p>
    <w:p w14:paraId="042D7506" w14:textId="2AF5067A" w:rsidR="00EC32FA" w:rsidRDefault="00EC32FA" w:rsidP="00EC32FA">
      <w:pPr>
        <w:pStyle w:val="Heading3"/>
      </w:pPr>
      <w:r>
        <w:t>2.2</w:t>
      </w:r>
      <w:r>
        <w:tab/>
        <w:t>TN Co-existence scenarios</w:t>
      </w:r>
    </w:p>
    <w:p w14:paraId="3C7E1E54" w14:textId="69C58D72" w:rsidR="00354EF2" w:rsidRPr="00354EF2" w:rsidRDefault="00EC32FA" w:rsidP="00354EF2">
      <w:pPr>
        <w:rPr>
          <w:lang w:val="en-GB" w:eastAsia="ja-JP"/>
        </w:rPr>
      </w:pPr>
      <w:r>
        <w:rPr>
          <w:noProof/>
          <w:lang w:val="en-GB" w:eastAsia="ja-JP"/>
        </w:rPr>
        <w:drawing>
          <wp:inline distT="0" distB="0" distL="0" distR="0" wp14:anchorId="5E8F9A4A" wp14:editId="4A235F7E">
            <wp:extent cx="6677025" cy="904875"/>
            <wp:effectExtent l="114300" t="57150" r="123825" b="161925"/>
            <wp:docPr id="17713988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77025" cy="904875"/>
                    </a:xfrm>
                    <a:prstGeom prst="rect">
                      <a:avLst/>
                    </a:prstGeom>
                    <a:noFill/>
                    <a:ln>
                      <a:noFill/>
                    </a:ln>
                    <a:effectLst>
                      <a:outerShdw blurRad="101600" dist="50800" dir="5400000" algn="ctr" rotWithShape="0">
                        <a:srgbClr val="000000">
                          <a:alpha val="59000"/>
                        </a:srgbClr>
                      </a:outerShdw>
                    </a:effectLst>
                  </pic:spPr>
                </pic:pic>
              </a:graphicData>
            </a:graphic>
          </wp:inline>
        </w:drawing>
      </w:r>
    </w:p>
    <w:p w14:paraId="4DEFE0B2" w14:textId="7372C6A9" w:rsidR="00EC32FA" w:rsidRPr="004B0B79" w:rsidRDefault="0002098C" w:rsidP="00EC32FA">
      <w:pPr>
        <w:spacing w:after="0" w:line="240" w:lineRule="auto"/>
        <w:textAlignment w:val="center"/>
        <w:rPr>
          <w:rFonts w:eastAsia="Times New Roman" w:cs="Arial"/>
          <w:szCs w:val="20"/>
          <w:lang w:eastAsia="en-SE"/>
        </w:rPr>
      </w:pPr>
      <w:r w:rsidRPr="004B0B79">
        <w:rPr>
          <w:rFonts w:eastAsia="Times New Roman" w:cs="Arial"/>
          <w:szCs w:val="20"/>
          <w:lang w:eastAsia="en-SE"/>
        </w:rPr>
        <w:t>Based on our pre-liminary co-existence evaluation in [4], we observe that the ACIR requirements are derived majorly when TN UL is impacted in Case 4</w:t>
      </w:r>
      <w:r w:rsidR="005459B3" w:rsidRPr="004B0B79">
        <w:rPr>
          <w:rFonts w:eastAsia="Times New Roman" w:cs="Arial"/>
          <w:szCs w:val="20"/>
          <w:lang w:eastAsia="en-SE"/>
        </w:rPr>
        <w:t xml:space="preserve"> </w:t>
      </w:r>
      <w:r w:rsidR="001D5316" w:rsidRPr="004B0B79">
        <w:rPr>
          <w:rFonts w:eastAsia="Times New Roman" w:cs="Arial"/>
          <w:szCs w:val="20"/>
          <w:lang w:eastAsia="en-SE"/>
        </w:rPr>
        <w:t xml:space="preserve">Urban Macro scenario </w:t>
      </w:r>
      <w:r w:rsidR="005459B3" w:rsidRPr="004B0B79">
        <w:rPr>
          <w:rFonts w:eastAsia="Times New Roman" w:cs="Arial"/>
          <w:szCs w:val="20"/>
          <w:lang w:eastAsia="en-SE"/>
        </w:rPr>
        <w:t>which can be considered as the worst case.</w:t>
      </w:r>
    </w:p>
    <w:p w14:paraId="69E7D812" w14:textId="77777777" w:rsidR="00EC32FA" w:rsidRPr="004B0B79" w:rsidRDefault="00EC32FA" w:rsidP="00EC32FA">
      <w:pPr>
        <w:spacing w:after="0" w:line="240" w:lineRule="auto"/>
        <w:textAlignment w:val="center"/>
        <w:rPr>
          <w:rFonts w:eastAsia="Times New Roman" w:cs="Arial"/>
          <w:szCs w:val="20"/>
          <w:lang w:eastAsia="en-SE"/>
        </w:rPr>
      </w:pPr>
    </w:p>
    <w:p w14:paraId="2E881D1B" w14:textId="0561563A" w:rsidR="0002098C" w:rsidRDefault="002D6FCA" w:rsidP="00EC32FA">
      <w:pPr>
        <w:spacing w:after="0" w:line="240" w:lineRule="auto"/>
        <w:textAlignment w:val="center"/>
        <w:rPr>
          <w:rFonts w:ascii="Calibri" w:eastAsia="Times New Roman" w:hAnsi="Calibri" w:cs="Calibri"/>
          <w:sz w:val="22"/>
          <w:lang w:eastAsia="en-SE"/>
        </w:rPr>
      </w:pPr>
      <w:r w:rsidRPr="004B0B79">
        <w:rPr>
          <w:rFonts w:eastAsia="Times New Roman" w:cs="Arial"/>
          <w:szCs w:val="20"/>
          <w:lang w:eastAsia="en-SE"/>
        </w:rPr>
        <w:t>When no isolation distance is considered in Case 4 for both Urban Macro and Rural scenarios, both the scenarios show similar</w:t>
      </w:r>
      <w:r w:rsidR="00320224" w:rsidRPr="004B0B79">
        <w:rPr>
          <w:rFonts w:eastAsia="Times New Roman" w:cs="Arial"/>
          <w:szCs w:val="20"/>
          <w:lang w:eastAsia="en-SE"/>
        </w:rPr>
        <w:t xml:space="preserve"> ACIR requirements</w:t>
      </w:r>
      <w:r w:rsidR="00320224">
        <w:rPr>
          <w:rFonts w:ascii="Calibri" w:eastAsia="Times New Roman" w:hAnsi="Calibri" w:cs="Calibri"/>
          <w:sz w:val="22"/>
          <w:lang w:eastAsia="en-SE"/>
        </w:rPr>
        <w:t>.</w:t>
      </w:r>
    </w:p>
    <w:p w14:paraId="5BEC4616" w14:textId="77777777" w:rsidR="00320224" w:rsidRDefault="00320224" w:rsidP="00EC32FA">
      <w:pPr>
        <w:spacing w:after="0" w:line="240" w:lineRule="auto"/>
        <w:textAlignment w:val="center"/>
        <w:rPr>
          <w:rFonts w:ascii="Calibri" w:eastAsia="Times New Roman" w:hAnsi="Calibri" w:cs="Calibri"/>
          <w:sz w:val="22"/>
          <w:lang w:eastAsia="en-SE"/>
        </w:rPr>
      </w:pPr>
    </w:p>
    <w:p w14:paraId="2CDE6DDD" w14:textId="561160FB" w:rsidR="00320224" w:rsidRPr="0002098C" w:rsidRDefault="00320224" w:rsidP="00320224">
      <w:pPr>
        <w:pStyle w:val="Observation"/>
      </w:pPr>
      <w:bookmarkStart w:id="2" w:name="_Toc179215654"/>
      <w:r>
        <w:t>In Case 4 when TN UL is the victim, both Urban Macro and Rural scenarios show similar ACIR requirements when no isolation distance is considered.</w:t>
      </w:r>
      <w:bookmarkEnd w:id="2"/>
      <w:r>
        <w:t xml:space="preserve"> </w:t>
      </w:r>
    </w:p>
    <w:p w14:paraId="1BD3A4E0" w14:textId="77777777" w:rsidR="0002098C" w:rsidRPr="0002098C" w:rsidRDefault="0002098C" w:rsidP="00EC32FA">
      <w:pPr>
        <w:spacing w:after="0" w:line="240" w:lineRule="auto"/>
        <w:textAlignment w:val="center"/>
        <w:rPr>
          <w:rFonts w:ascii="Calibri" w:eastAsia="Times New Roman" w:hAnsi="Calibri" w:cs="Calibri"/>
          <w:sz w:val="22"/>
          <w:lang w:eastAsia="en-SE"/>
        </w:rPr>
      </w:pPr>
    </w:p>
    <w:p w14:paraId="39F558CC" w14:textId="430EF0C6" w:rsidR="00EC32FA" w:rsidRPr="0002098C" w:rsidRDefault="00EC32FA" w:rsidP="00F228FE">
      <w:pPr>
        <w:pStyle w:val="Heading3"/>
        <w:rPr>
          <w:lang w:val="fr-FR"/>
        </w:rPr>
      </w:pPr>
      <w:r w:rsidRPr="0002098C">
        <w:rPr>
          <w:lang w:val="fr-FR"/>
        </w:rPr>
        <w:t>2.3</w:t>
      </w:r>
      <w:r w:rsidRPr="0002098C">
        <w:rPr>
          <w:lang w:val="fr-FR"/>
        </w:rPr>
        <w:tab/>
      </w:r>
      <w:r w:rsidR="00666723" w:rsidRPr="0002098C">
        <w:rPr>
          <w:lang w:val="fr-FR"/>
        </w:rPr>
        <w:t>Isolation distance</w:t>
      </w:r>
    </w:p>
    <w:p w14:paraId="42FF330A" w14:textId="77777777" w:rsidR="00EC32FA" w:rsidRPr="0002098C" w:rsidRDefault="00EC32FA" w:rsidP="00967E5D">
      <w:pPr>
        <w:spacing w:after="0" w:line="240" w:lineRule="auto"/>
        <w:ind w:left="720"/>
        <w:textAlignment w:val="center"/>
        <w:rPr>
          <w:rFonts w:ascii="Calibri" w:eastAsia="Times New Roman" w:hAnsi="Calibri" w:cs="Calibri"/>
          <w:sz w:val="22"/>
          <w:lang w:val="fr-FR" w:eastAsia="en-SE"/>
        </w:rPr>
      </w:pPr>
    </w:p>
    <w:p w14:paraId="2185A8A3" w14:textId="20D7F298" w:rsidR="00EC32FA" w:rsidRDefault="00F228FE" w:rsidP="00967E5D">
      <w:pPr>
        <w:spacing w:after="0" w:line="240" w:lineRule="auto"/>
        <w:ind w:left="720"/>
        <w:textAlignment w:val="center"/>
        <w:rPr>
          <w:rFonts w:ascii="Calibri" w:eastAsia="Times New Roman" w:hAnsi="Calibri" w:cs="Calibri"/>
          <w:sz w:val="22"/>
          <w:lang w:val="en-IN" w:eastAsia="en-SE"/>
        </w:rPr>
      </w:pPr>
      <w:r>
        <w:rPr>
          <w:rFonts w:ascii="Calibri" w:eastAsia="Times New Roman" w:hAnsi="Calibri" w:cs="Calibri"/>
          <w:noProof/>
          <w:sz w:val="22"/>
          <w:lang w:val="en-IN" w:eastAsia="en-SE"/>
        </w:rPr>
        <w:drawing>
          <wp:inline distT="0" distB="0" distL="0" distR="0" wp14:anchorId="5E866684" wp14:editId="74CDDF21">
            <wp:extent cx="6905625" cy="1514475"/>
            <wp:effectExtent l="114300" t="57150" r="123825" b="161925"/>
            <wp:docPr id="7193170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05625" cy="1514475"/>
                    </a:xfrm>
                    <a:prstGeom prst="rect">
                      <a:avLst/>
                    </a:prstGeom>
                    <a:noFill/>
                    <a:ln>
                      <a:noFill/>
                    </a:ln>
                    <a:effectLst>
                      <a:outerShdw blurRad="101600" dist="50800" dir="5400000" algn="ctr" rotWithShape="0">
                        <a:srgbClr val="000000">
                          <a:alpha val="59000"/>
                        </a:srgbClr>
                      </a:outerShdw>
                    </a:effectLst>
                  </pic:spPr>
                </pic:pic>
              </a:graphicData>
            </a:graphic>
          </wp:inline>
        </w:drawing>
      </w:r>
    </w:p>
    <w:p w14:paraId="5ACF7822" w14:textId="77777777" w:rsidR="0044006A" w:rsidRDefault="0044006A" w:rsidP="0044006A">
      <w:pPr>
        <w:spacing w:after="0" w:line="240" w:lineRule="auto"/>
        <w:textAlignment w:val="center"/>
        <w:rPr>
          <w:rFonts w:ascii="Calibri" w:eastAsia="Times New Roman" w:hAnsi="Calibri" w:cs="Calibri"/>
          <w:sz w:val="22"/>
          <w:lang w:val="en-IN" w:eastAsia="en-SE"/>
        </w:rPr>
      </w:pPr>
    </w:p>
    <w:p w14:paraId="43AFFFAE" w14:textId="066F7990" w:rsidR="00863AB9" w:rsidRPr="007C22FB" w:rsidRDefault="00D66450" w:rsidP="0044006A">
      <w:pPr>
        <w:spacing w:after="0" w:line="240" w:lineRule="auto"/>
        <w:textAlignment w:val="center"/>
        <w:rPr>
          <w:rFonts w:eastAsia="Times New Roman" w:cs="Arial"/>
          <w:szCs w:val="20"/>
          <w:lang w:val="en-IN" w:eastAsia="en-SE"/>
        </w:rPr>
      </w:pPr>
      <w:r w:rsidRPr="007C22FB">
        <w:rPr>
          <w:rFonts w:eastAsia="Times New Roman" w:cs="Arial"/>
          <w:szCs w:val="20"/>
          <w:lang w:val="en-IN" w:eastAsia="en-SE"/>
        </w:rPr>
        <w:t xml:space="preserve">In our companion </w:t>
      </w:r>
      <w:r w:rsidRPr="002E592D">
        <w:rPr>
          <w:rFonts w:eastAsia="Times New Roman" w:cs="Arial"/>
          <w:szCs w:val="20"/>
          <w:lang w:val="en-IN" w:eastAsia="en-SE"/>
        </w:rPr>
        <w:t>contribution [</w:t>
      </w:r>
      <w:r w:rsidR="0002098C" w:rsidRPr="002E592D">
        <w:rPr>
          <w:rFonts w:eastAsia="Times New Roman" w:cs="Arial"/>
          <w:szCs w:val="20"/>
          <w:lang w:val="en-IN" w:eastAsia="en-SE"/>
        </w:rPr>
        <w:t>4</w:t>
      </w:r>
      <w:r w:rsidRPr="002E592D">
        <w:rPr>
          <w:rFonts w:eastAsia="Times New Roman" w:cs="Arial"/>
          <w:szCs w:val="20"/>
          <w:lang w:val="en-IN" w:eastAsia="en-SE"/>
        </w:rPr>
        <w:t>], we</w:t>
      </w:r>
      <w:r w:rsidRPr="007C22FB">
        <w:rPr>
          <w:rFonts w:eastAsia="Times New Roman" w:cs="Arial"/>
          <w:szCs w:val="20"/>
          <w:lang w:val="en-IN" w:eastAsia="en-SE"/>
        </w:rPr>
        <w:t xml:space="preserve"> have presented our pre-liminary results </w:t>
      </w:r>
      <w:r w:rsidR="009E2244" w:rsidRPr="007C22FB">
        <w:rPr>
          <w:rFonts w:eastAsia="Times New Roman" w:cs="Arial"/>
          <w:szCs w:val="20"/>
          <w:lang w:val="en-IN" w:eastAsia="en-SE"/>
        </w:rPr>
        <w:t>with/ without isolation distance</w:t>
      </w:r>
      <w:r w:rsidR="00CD0881" w:rsidRPr="007C22FB">
        <w:rPr>
          <w:rFonts w:eastAsia="Times New Roman" w:cs="Arial"/>
          <w:szCs w:val="20"/>
          <w:lang w:val="en-IN" w:eastAsia="en-SE"/>
        </w:rPr>
        <w:t xml:space="preserve"> of 1.5 km. </w:t>
      </w:r>
    </w:p>
    <w:p w14:paraId="66187AEF" w14:textId="77777777" w:rsidR="00CD0881" w:rsidRPr="007C22FB" w:rsidRDefault="00CD0881" w:rsidP="0044006A">
      <w:pPr>
        <w:spacing w:after="0" w:line="240" w:lineRule="auto"/>
        <w:textAlignment w:val="center"/>
        <w:rPr>
          <w:rFonts w:eastAsia="Times New Roman" w:cs="Arial"/>
          <w:szCs w:val="20"/>
          <w:lang w:val="en-IN" w:eastAsia="en-SE"/>
        </w:rPr>
      </w:pPr>
    </w:p>
    <w:p w14:paraId="77BE4764" w14:textId="5858E2CE" w:rsidR="00CD0881" w:rsidRPr="007C22FB" w:rsidRDefault="00D97D8D" w:rsidP="0044006A">
      <w:pPr>
        <w:spacing w:after="0" w:line="240" w:lineRule="auto"/>
        <w:textAlignment w:val="center"/>
        <w:rPr>
          <w:rFonts w:eastAsia="Times New Roman" w:cs="Arial"/>
          <w:szCs w:val="20"/>
          <w:lang w:val="en-IN" w:eastAsia="en-SE"/>
        </w:rPr>
      </w:pPr>
      <w:r w:rsidRPr="007C22FB">
        <w:rPr>
          <w:rFonts w:eastAsia="Times New Roman" w:cs="Arial"/>
          <w:szCs w:val="20"/>
          <w:lang w:val="en-IN" w:eastAsia="en-SE"/>
        </w:rPr>
        <w:t xml:space="preserve">Case 4 when </w:t>
      </w:r>
      <w:r w:rsidR="0043139B" w:rsidRPr="007C22FB">
        <w:rPr>
          <w:rFonts w:eastAsia="Times New Roman" w:cs="Arial"/>
          <w:szCs w:val="20"/>
          <w:lang w:val="en-IN" w:eastAsia="en-SE"/>
        </w:rPr>
        <w:t>TN UL is the victim</w:t>
      </w:r>
      <w:r w:rsidR="00307E9C" w:rsidRPr="007C22FB">
        <w:rPr>
          <w:rFonts w:eastAsia="Times New Roman" w:cs="Arial"/>
          <w:szCs w:val="20"/>
          <w:lang w:val="en-IN" w:eastAsia="en-SE"/>
        </w:rPr>
        <w:t xml:space="preserve"> and NR NTN/ NB-IoT NTN UL is the aggressor,</w:t>
      </w:r>
    </w:p>
    <w:p w14:paraId="6564AD31" w14:textId="576DEEAF" w:rsidR="009C6C4C" w:rsidRPr="007C22FB" w:rsidRDefault="006B11C6" w:rsidP="006E5D2A">
      <w:pPr>
        <w:pStyle w:val="ListParagraph"/>
        <w:numPr>
          <w:ilvl w:val="0"/>
          <w:numId w:val="26"/>
        </w:numPr>
        <w:spacing w:line="240" w:lineRule="auto"/>
        <w:textAlignment w:val="center"/>
        <w:rPr>
          <w:rFonts w:ascii="Arial" w:eastAsia="Times New Roman" w:hAnsi="Arial" w:cs="Arial"/>
          <w:sz w:val="20"/>
          <w:szCs w:val="20"/>
          <w:lang w:val="en-IN" w:eastAsia="en-SE"/>
        </w:rPr>
      </w:pPr>
      <w:r w:rsidRPr="007C22FB">
        <w:rPr>
          <w:rFonts w:ascii="Arial" w:eastAsia="Times New Roman" w:hAnsi="Arial" w:cs="Arial"/>
          <w:sz w:val="20"/>
          <w:szCs w:val="20"/>
          <w:lang w:val="en-IN" w:eastAsia="en-SE"/>
        </w:rPr>
        <w:t xml:space="preserve">In </w:t>
      </w:r>
      <w:r w:rsidR="00BA6D91" w:rsidRPr="007C22FB">
        <w:rPr>
          <w:rFonts w:ascii="Arial" w:eastAsia="Times New Roman" w:hAnsi="Arial" w:cs="Arial"/>
          <w:sz w:val="20"/>
          <w:szCs w:val="20"/>
          <w:lang w:val="en-IN" w:eastAsia="en-SE"/>
        </w:rPr>
        <w:t xml:space="preserve">GEO and LEO1200 </w:t>
      </w:r>
      <w:r w:rsidRPr="007C22FB">
        <w:rPr>
          <w:rFonts w:ascii="Arial" w:eastAsia="Times New Roman" w:hAnsi="Arial" w:cs="Arial"/>
          <w:sz w:val="20"/>
          <w:szCs w:val="20"/>
          <w:lang w:val="en-IN" w:eastAsia="en-SE"/>
        </w:rPr>
        <w:t xml:space="preserve">Urban Macro </w:t>
      </w:r>
      <w:r w:rsidR="00BA6D91" w:rsidRPr="007C22FB">
        <w:rPr>
          <w:rFonts w:ascii="Arial" w:eastAsia="Times New Roman" w:hAnsi="Arial" w:cs="Arial"/>
          <w:sz w:val="20"/>
          <w:szCs w:val="20"/>
          <w:lang w:val="en-IN" w:eastAsia="en-SE"/>
        </w:rPr>
        <w:t xml:space="preserve">scenarios </w:t>
      </w:r>
      <w:r w:rsidRPr="007C22FB">
        <w:rPr>
          <w:rFonts w:ascii="Arial" w:eastAsia="Times New Roman" w:hAnsi="Arial" w:cs="Arial"/>
          <w:sz w:val="20"/>
          <w:szCs w:val="20"/>
          <w:lang w:val="en-IN" w:eastAsia="en-SE"/>
        </w:rPr>
        <w:t>w</w:t>
      </w:r>
      <w:r w:rsidR="005D4F78" w:rsidRPr="007C22FB">
        <w:rPr>
          <w:rFonts w:ascii="Arial" w:eastAsia="Times New Roman" w:hAnsi="Arial" w:cs="Arial"/>
          <w:sz w:val="20"/>
          <w:szCs w:val="20"/>
          <w:lang w:val="en-IN" w:eastAsia="en-SE"/>
        </w:rPr>
        <w:t xml:space="preserve">hen no isolation distance is considered we see an ACIR </w:t>
      </w:r>
      <w:r w:rsidR="00187517" w:rsidRPr="007C22FB">
        <w:rPr>
          <w:rFonts w:ascii="Arial" w:eastAsia="Times New Roman" w:hAnsi="Arial" w:cs="Arial"/>
          <w:sz w:val="20"/>
          <w:szCs w:val="20"/>
          <w:lang w:val="en-IN" w:eastAsia="en-SE"/>
        </w:rPr>
        <w:t>upto 39 dB</w:t>
      </w:r>
      <w:r w:rsidR="00784BCC" w:rsidRPr="007C22FB">
        <w:rPr>
          <w:rFonts w:ascii="Arial" w:eastAsia="Times New Roman" w:hAnsi="Arial" w:cs="Arial"/>
          <w:sz w:val="20"/>
          <w:szCs w:val="20"/>
          <w:lang w:val="en-IN" w:eastAsia="en-SE"/>
        </w:rPr>
        <w:t>,</w:t>
      </w:r>
      <w:r w:rsidR="006E5D2A" w:rsidRPr="007C22FB">
        <w:rPr>
          <w:rFonts w:ascii="Arial" w:eastAsia="Times New Roman" w:hAnsi="Arial" w:cs="Arial"/>
          <w:sz w:val="20"/>
          <w:szCs w:val="20"/>
          <w:lang w:val="en-IN" w:eastAsia="en-SE"/>
        </w:rPr>
        <w:t xml:space="preserve"> whereas with isolation distance the ACIR reduces to </w:t>
      </w:r>
      <w:r w:rsidR="008145AA" w:rsidRPr="007C22FB">
        <w:rPr>
          <w:rFonts w:ascii="Arial" w:eastAsia="Times New Roman" w:hAnsi="Arial" w:cs="Arial"/>
          <w:sz w:val="20"/>
          <w:szCs w:val="20"/>
          <w:lang w:val="en-IN" w:eastAsia="en-SE"/>
        </w:rPr>
        <w:t>11</w:t>
      </w:r>
      <w:r w:rsidR="00784BCC" w:rsidRPr="007C22FB">
        <w:rPr>
          <w:rFonts w:ascii="Arial" w:eastAsia="Times New Roman" w:hAnsi="Arial" w:cs="Arial"/>
          <w:sz w:val="20"/>
          <w:szCs w:val="20"/>
          <w:lang w:val="en-IN" w:eastAsia="en-SE"/>
        </w:rPr>
        <w:t xml:space="preserve"> dB. </w:t>
      </w:r>
    </w:p>
    <w:p w14:paraId="3048A4E2" w14:textId="38057515" w:rsidR="00784BCC" w:rsidRPr="007C22FB" w:rsidRDefault="00784BCC" w:rsidP="00784BCC">
      <w:pPr>
        <w:pStyle w:val="ListParagraph"/>
        <w:numPr>
          <w:ilvl w:val="0"/>
          <w:numId w:val="26"/>
        </w:numPr>
        <w:spacing w:line="240" w:lineRule="auto"/>
        <w:textAlignment w:val="center"/>
        <w:rPr>
          <w:rFonts w:ascii="Arial" w:eastAsia="Times New Roman" w:hAnsi="Arial" w:cs="Arial"/>
          <w:sz w:val="20"/>
          <w:szCs w:val="20"/>
          <w:lang w:val="en-IN" w:eastAsia="en-SE"/>
        </w:rPr>
      </w:pPr>
      <w:r w:rsidRPr="007C22FB">
        <w:rPr>
          <w:rFonts w:ascii="Arial" w:eastAsia="Times New Roman" w:hAnsi="Arial" w:cs="Arial"/>
          <w:sz w:val="20"/>
          <w:szCs w:val="20"/>
          <w:lang w:val="en-IN" w:eastAsia="en-SE"/>
        </w:rPr>
        <w:t xml:space="preserve">In </w:t>
      </w:r>
      <w:r w:rsidR="00BA6D91" w:rsidRPr="007C22FB">
        <w:rPr>
          <w:rFonts w:ascii="Arial" w:eastAsia="Times New Roman" w:hAnsi="Arial" w:cs="Arial"/>
          <w:sz w:val="20"/>
          <w:szCs w:val="20"/>
          <w:lang w:val="en-IN" w:eastAsia="en-SE"/>
        </w:rPr>
        <w:t xml:space="preserve">GEO </w:t>
      </w:r>
      <w:r w:rsidRPr="007C22FB">
        <w:rPr>
          <w:rFonts w:ascii="Arial" w:eastAsia="Times New Roman" w:hAnsi="Arial" w:cs="Arial"/>
          <w:sz w:val="20"/>
          <w:szCs w:val="20"/>
          <w:lang w:val="en-IN" w:eastAsia="en-SE"/>
        </w:rPr>
        <w:t xml:space="preserve">Rural </w:t>
      </w:r>
      <w:r w:rsidR="00BA6D91" w:rsidRPr="007C22FB">
        <w:rPr>
          <w:rFonts w:ascii="Arial" w:eastAsia="Times New Roman" w:hAnsi="Arial" w:cs="Arial"/>
          <w:sz w:val="20"/>
          <w:szCs w:val="20"/>
          <w:lang w:val="en-IN" w:eastAsia="en-SE"/>
        </w:rPr>
        <w:t xml:space="preserve">scenarios </w:t>
      </w:r>
      <w:r w:rsidRPr="007C22FB">
        <w:rPr>
          <w:rFonts w:ascii="Arial" w:eastAsia="Times New Roman" w:hAnsi="Arial" w:cs="Arial"/>
          <w:sz w:val="20"/>
          <w:szCs w:val="20"/>
          <w:lang w:val="en-IN" w:eastAsia="en-SE"/>
        </w:rPr>
        <w:t xml:space="preserve">when no isolation distance is considered we see an ACIR upto </w:t>
      </w:r>
      <w:r w:rsidR="00030F00" w:rsidRPr="007C22FB">
        <w:rPr>
          <w:rFonts w:ascii="Arial" w:eastAsia="Times New Roman" w:hAnsi="Arial" w:cs="Arial"/>
          <w:sz w:val="20"/>
          <w:szCs w:val="20"/>
          <w:lang w:val="en-IN" w:eastAsia="en-SE"/>
        </w:rPr>
        <w:t xml:space="preserve">39 </w:t>
      </w:r>
      <w:r w:rsidRPr="007C22FB">
        <w:rPr>
          <w:rFonts w:ascii="Arial" w:eastAsia="Times New Roman" w:hAnsi="Arial" w:cs="Arial"/>
          <w:sz w:val="20"/>
          <w:szCs w:val="20"/>
          <w:lang w:val="en-IN" w:eastAsia="en-SE"/>
        </w:rPr>
        <w:t>dB, whereas with isolation distance the ACIR reduces to 8 dB.</w:t>
      </w:r>
    </w:p>
    <w:p w14:paraId="1E02F483" w14:textId="77777777" w:rsidR="007F7179" w:rsidRPr="007C22FB" w:rsidRDefault="007F7179" w:rsidP="007F7179">
      <w:pPr>
        <w:spacing w:line="240" w:lineRule="auto"/>
        <w:textAlignment w:val="center"/>
        <w:rPr>
          <w:rFonts w:eastAsia="Times New Roman" w:cs="Arial"/>
          <w:szCs w:val="20"/>
          <w:lang w:val="en-IN" w:eastAsia="en-SE"/>
        </w:rPr>
      </w:pPr>
    </w:p>
    <w:p w14:paraId="73ABD93C" w14:textId="313F668D" w:rsidR="007F7179" w:rsidRPr="007C22FB" w:rsidRDefault="007F7179" w:rsidP="007F7179">
      <w:pPr>
        <w:spacing w:after="0" w:line="240" w:lineRule="auto"/>
        <w:textAlignment w:val="center"/>
        <w:rPr>
          <w:rFonts w:eastAsia="Times New Roman" w:cs="Arial"/>
          <w:szCs w:val="20"/>
          <w:lang w:val="en-IN" w:eastAsia="en-SE"/>
        </w:rPr>
      </w:pPr>
      <w:r w:rsidRPr="007C22FB">
        <w:rPr>
          <w:rFonts w:eastAsia="Times New Roman" w:cs="Arial"/>
          <w:szCs w:val="20"/>
          <w:lang w:val="en-IN" w:eastAsia="en-SE"/>
        </w:rPr>
        <w:t>Case 5 when TN DL is the victim and NR NTN/ NB-IoT NTN UL is the aggressor,</w:t>
      </w:r>
    </w:p>
    <w:p w14:paraId="22B9D074" w14:textId="3E13392D" w:rsidR="007F7179" w:rsidRPr="007C22FB" w:rsidRDefault="007F7179" w:rsidP="00AA0553">
      <w:pPr>
        <w:pStyle w:val="ListParagraph"/>
        <w:numPr>
          <w:ilvl w:val="0"/>
          <w:numId w:val="26"/>
        </w:numPr>
        <w:spacing w:line="240" w:lineRule="auto"/>
        <w:textAlignment w:val="center"/>
        <w:rPr>
          <w:rFonts w:ascii="Arial" w:eastAsia="Times New Roman" w:hAnsi="Arial" w:cs="Arial"/>
          <w:sz w:val="20"/>
          <w:szCs w:val="20"/>
          <w:lang w:val="en-IN" w:eastAsia="en-SE"/>
        </w:rPr>
      </w:pPr>
      <w:r w:rsidRPr="007C22FB">
        <w:rPr>
          <w:rFonts w:ascii="Arial" w:eastAsia="Times New Roman" w:hAnsi="Arial" w:cs="Arial"/>
          <w:sz w:val="20"/>
          <w:szCs w:val="20"/>
          <w:lang w:val="en-IN" w:eastAsia="en-SE"/>
        </w:rPr>
        <w:t xml:space="preserve">In </w:t>
      </w:r>
      <w:r w:rsidR="00195AF7" w:rsidRPr="007C22FB">
        <w:rPr>
          <w:rFonts w:ascii="Arial" w:eastAsia="Times New Roman" w:hAnsi="Arial" w:cs="Arial"/>
          <w:sz w:val="20"/>
          <w:szCs w:val="20"/>
          <w:lang w:val="en-IN" w:eastAsia="en-SE"/>
        </w:rPr>
        <w:t xml:space="preserve">GEO </w:t>
      </w:r>
      <w:r w:rsidRPr="007C22FB">
        <w:rPr>
          <w:rFonts w:ascii="Arial" w:eastAsia="Times New Roman" w:hAnsi="Arial" w:cs="Arial"/>
          <w:sz w:val="20"/>
          <w:szCs w:val="20"/>
          <w:lang w:val="en-IN" w:eastAsia="en-SE"/>
        </w:rPr>
        <w:t xml:space="preserve">Urban Macro when no isolation distance is considered we see an ACIR upto </w:t>
      </w:r>
      <w:r w:rsidR="00AA0553" w:rsidRPr="007C22FB">
        <w:rPr>
          <w:rFonts w:ascii="Arial" w:eastAsia="Times New Roman" w:hAnsi="Arial" w:cs="Arial"/>
          <w:sz w:val="20"/>
          <w:szCs w:val="20"/>
          <w:lang w:val="en-IN" w:eastAsia="en-SE"/>
        </w:rPr>
        <w:t>14</w:t>
      </w:r>
      <w:r w:rsidRPr="007C22FB">
        <w:rPr>
          <w:rFonts w:ascii="Arial" w:eastAsia="Times New Roman" w:hAnsi="Arial" w:cs="Arial"/>
          <w:sz w:val="20"/>
          <w:szCs w:val="20"/>
          <w:lang w:val="en-IN" w:eastAsia="en-SE"/>
        </w:rPr>
        <w:t xml:space="preserve"> dB, whereas with isolation distance the ACIR </w:t>
      </w:r>
      <w:r w:rsidR="00FA1F2D" w:rsidRPr="007C22FB">
        <w:rPr>
          <w:rFonts w:ascii="Arial" w:eastAsia="Times New Roman" w:hAnsi="Arial" w:cs="Arial"/>
          <w:sz w:val="20"/>
          <w:szCs w:val="20"/>
          <w:lang w:val="en-IN" w:eastAsia="en-SE"/>
        </w:rPr>
        <w:t>is</w:t>
      </w:r>
      <w:r w:rsidR="00AA0553" w:rsidRPr="007C22FB">
        <w:rPr>
          <w:rFonts w:ascii="Arial" w:eastAsia="Times New Roman" w:hAnsi="Arial" w:cs="Arial"/>
          <w:sz w:val="20"/>
          <w:szCs w:val="20"/>
          <w:lang w:val="en-IN" w:eastAsia="en-SE"/>
        </w:rPr>
        <w:t xml:space="preserve"> close to 0 or cannot be derived.</w:t>
      </w:r>
    </w:p>
    <w:p w14:paraId="2309F347" w14:textId="1CDD58FA" w:rsidR="00FA1F2D" w:rsidRPr="007C22FB" w:rsidRDefault="007F7179" w:rsidP="00FA1F2D">
      <w:pPr>
        <w:pStyle w:val="ListParagraph"/>
        <w:numPr>
          <w:ilvl w:val="0"/>
          <w:numId w:val="26"/>
        </w:numPr>
        <w:spacing w:line="240" w:lineRule="auto"/>
        <w:textAlignment w:val="center"/>
        <w:rPr>
          <w:rFonts w:ascii="Arial" w:eastAsia="Times New Roman" w:hAnsi="Arial" w:cs="Arial"/>
          <w:sz w:val="20"/>
          <w:szCs w:val="20"/>
          <w:lang w:val="en-IN" w:eastAsia="en-SE"/>
        </w:rPr>
      </w:pPr>
      <w:r w:rsidRPr="007C22FB">
        <w:rPr>
          <w:rFonts w:ascii="Arial" w:eastAsia="Times New Roman" w:hAnsi="Arial" w:cs="Arial"/>
          <w:sz w:val="20"/>
          <w:szCs w:val="20"/>
          <w:lang w:val="en-IN" w:eastAsia="en-SE"/>
        </w:rPr>
        <w:t xml:space="preserve">In </w:t>
      </w:r>
      <w:r w:rsidR="00195AF7" w:rsidRPr="007C22FB">
        <w:rPr>
          <w:rFonts w:ascii="Arial" w:eastAsia="Times New Roman" w:hAnsi="Arial" w:cs="Arial"/>
          <w:sz w:val="20"/>
          <w:szCs w:val="20"/>
          <w:lang w:val="en-IN" w:eastAsia="en-SE"/>
        </w:rPr>
        <w:t xml:space="preserve">GEO </w:t>
      </w:r>
      <w:r w:rsidRPr="007C22FB">
        <w:rPr>
          <w:rFonts w:ascii="Arial" w:eastAsia="Times New Roman" w:hAnsi="Arial" w:cs="Arial"/>
          <w:sz w:val="20"/>
          <w:szCs w:val="20"/>
          <w:lang w:val="en-IN" w:eastAsia="en-SE"/>
        </w:rPr>
        <w:t xml:space="preserve">Rural when no isolation distance is considered we see an ACIR upto </w:t>
      </w:r>
      <w:r w:rsidR="00FA1F2D" w:rsidRPr="007C22FB">
        <w:rPr>
          <w:rFonts w:ascii="Arial" w:eastAsia="Times New Roman" w:hAnsi="Arial" w:cs="Arial"/>
          <w:sz w:val="20"/>
          <w:szCs w:val="20"/>
          <w:lang w:val="en-IN" w:eastAsia="en-SE"/>
        </w:rPr>
        <w:t>12</w:t>
      </w:r>
      <w:r w:rsidRPr="007C22FB">
        <w:rPr>
          <w:rFonts w:ascii="Arial" w:eastAsia="Times New Roman" w:hAnsi="Arial" w:cs="Arial"/>
          <w:sz w:val="20"/>
          <w:szCs w:val="20"/>
          <w:lang w:val="en-IN" w:eastAsia="en-SE"/>
        </w:rPr>
        <w:t xml:space="preserve"> dB, whereas with isolation distance the ACIR </w:t>
      </w:r>
      <w:r w:rsidR="00FA1F2D" w:rsidRPr="007C22FB">
        <w:rPr>
          <w:rFonts w:ascii="Arial" w:eastAsia="Times New Roman" w:hAnsi="Arial" w:cs="Arial"/>
          <w:sz w:val="20"/>
          <w:szCs w:val="20"/>
          <w:lang w:val="en-IN" w:eastAsia="en-SE"/>
        </w:rPr>
        <w:t>is close to 0 or cannot be derived.</w:t>
      </w:r>
    </w:p>
    <w:p w14:paraId="6A9510A1" w14:textId="77777777" w:rsidR="007F7179" w:rsidRPr="007C22FB" w:rsidRDefault="007F7179" w:rsidP="00FA1F2D">
      <w:pPr>
        <w:spacing w:line="240" w:lineRule="auto"/>
        <w:ind w:left="360"/>
        <w:textAlignment w:val="center"/>
        <w:rPr>
          <w:rFonts w:eastAsia="Times New Roman" w:cs="Arial"/>
          <w:szCs w:val="20"/>
          <w:lang w:val="en-IN" w:eastAsia="en-SE"/>
        </w:rPr>
      </w:pPr>
    </w:p>
    <w:p w14:paraId="24C4BF7B" w14:textId="14A81379" w:rsidR="00784BCC" w:rsidRDefault="00CE10C3" w:rsidP="00AA0553">
      <w:pPr>
        <w:spacing w:line="240" w:lineRule="auto"/>
        <w:textAlignment w:val="center"/>
        <w:rPr>
          <w:rFonts w:eastAsia="Times New Roman" w:cs="Arial"/>
          <w:szCs w:val="20"/>
          <w:lang w:val="en-IN" w:eastAsia="en-SE"/>
        </w:rPr>
      </w:pPr>
      <w:r w:rsidRPr="007C22FB">
        <w:rPr>
          <w:rFonts w:eastAsia="Times New Roman" w:cs="Arial"/>
          <w:szCs w:val="20"/>
          <w:lang w:val="en-IN" w:eastAsia="en-SE"/>
        </w:rPr>
        <w:t xml:space="preserve">Based on the results, </w:t>
      </w:r>
      <w:r w:rsidR="00640498" w:rsidRPr="007C22FB">
        <w:rPr>
          <w:rFonts w:eastAsia="Times New Roman" w:cs="Arial"/>
          <w:szCs w:val="20"/>
          <w:lang w:val="en-IN" w:eastAsia="en-SE"/>
        </w:rPr>
        <w:t>the</w:t>
      </w:r>
      <w:r w:rsidR="00AA564F">
        <w:rPr>
          <w:rFonts w:eastAsia="Times New Roman" w:cs="Arial"/>
          <w:szCs w:val="20"/>
          <w:lang w:val="en-IN" w:eastAsia="en-SE"/>
        </w:rPr>
        <w:t xml:space="preserve"> ACIR requirements </w:t>
      </w:r>
      <w:r w:rsidR="00D868FE">
        <w:rPr>
          <w:rFonts w:eastAsia="Times New Roman" w:cs="Arial"/>
          <w:szCs w:val="20"/>
          <w:lang w:val="en-IN" w:eastAsia="en-SE"/>
        </w:rPr>
        <w:t xml:space="preserve">as worst case </w:t>
      </w:r>
      <w:r w:rsidR="00AA564F">
        <w:rPr>
          <w:rFonts w:eastAsia="Times New Roman" w:cs="Arial"/>
          <w:szCs w:val="20"/>
          <w:lang w:val="en-IN" w:eastAsia="en-SE"/>
        </w:rPr>
        <w:t xml:space="preserve">are derived </w:t>
      </w:r>
      <w:r w:rsidR="00E81FFA">
        <w:rPr>
          <w:rFonts w:eastAsia="Times New Roman" w:cs="Arial"/>
          <w:szCs w:val="20"/>
          <w:lang w:val="en-IN" w:eastAsia="en-SE"/>
        </w:rPr>
        <w:t xml:space="preserve">when </w:t>
      </w:r>
      <w:r w:rsidR="00D868FE">
        <w:rPr>
          <w:rFonts w:eastAsia="Times New Roman" w:cs="Arial"/>
          <w:szCs w:val="20"/>
          <w:lang w:val="en-IN" w:eastAsia="en-SE"/>
        </w:rPr>
        <w:t xml:space="preserve">no isolation distance is considered in Case 4. The ACIR </w:t>
      </w:r>
      <w:r w:rsidR="00333740">
        <w:rPr>
          <w:rFonts w:eastAsia="Times New Roman" w:cs="Arial"/>
          <w:szCs w:val="20"/>
          <w:lang w:val="en-IN" w:eastAsia="en-SE"/>
        </w:rPr>
        <w:t xml:space="preserve">requirements however get relaxed with the introduction of isolation distance </w:t>
      </w:r>
      <w:r w:rsidR="00C061B3">
        <w:rPr>
          <w:rFonts w:eastAsia="Times New Roman" w:cs="Arial"/>
          <w:szCs w:val="20"/>
          <w:lang w:val="en-IN" w:eastAsia="en-SE"/>
        </w:rPr>
        <w:t xml:space="preserve">of 1.5 km, </w:t>
      </w:r>
      <w:r w:rsidR="00333740">
        <w:rPr>
          <w:rFonts w:eastAsia="Times New Roman" w:cs="Arial"/>
          <w:szCs w:val="20"/>
          <w:lang w:val="en-IN" w:eastAsia="en-SE"/>
        </w:rPr>
        <w:t xml:space="preserve">possibly due to </w:t>
      </w:r>
      <w:r w:rsidR="00F058CD">
        <w:rPr>
          <w:rFonts w:eastAsia="Times New Roman" w:cs="Arial"/>
          <w:szCs w:val="20"/>
          <w:lang w:val="en-IN" w:eastAsia="en-SE"/>
        </w:rPr>
        <w:t>reduced interference.</w:t>
      </w:r>
    </w:p>
    <w:p w14:paraId="60CDB93C" w14:textId="4A607A22" w:rsidR="0002098C" w:rsidRPr="007C22FB" w:rsidRDefault="0002098C" w:rsidP="0002098C">
      <w:pPr>
        <w:pStyle w:val="Observation"/>
        <w:rPr>
          <w:lang w:val="en-IN"/>
        </w:rPr>
      </w:pPr>
      <w:bookmarkStart w:id="3" w:name="_Toc179215655"/>
      <w:r>
        <w:rPr>
          <w:lang w:val="en-IN"/>
        </w:rPr>
        <w:t>Further studies can be carried out to check the impact of reduced isolation distance on ACIR requirements</w:t>
      </w:r>
      <w:r w:rsidR="00320224">
        <w:rPr>
          <w:lang w:val="en-IN"/>
        </w:rPr>
        <w:t xml:space="preserve"> other than 1.5km</w:t>
      </w:r>
      <w:r>
        <w:rPr>
          <w:lang w:val="en-IN"/>
        </w:rPr>
        <w:t xml:space="preserve"> in Case 4.</w:t>
      </w:r>
      <w:bookmarkEnd w:id="3"/>
    </w:p>
    <w:p w14:paraId="6F2CB902" w14:textId="0354E2C2" w:rsidR="00EA3ADD" w:rsidRPr="0002098C" w:rsidRDefault="00F058CD" w:rsidP="0002098C">
      <w:pPr>
        <w:pStyle w:val="Proposal"/>
        <w:rPr>
          <w:lang w:val="en-IN"/>
        </w:rPr>
      </w:pPr>
      <w:bookmarkStart w:id="4" w:name="_Toc179215658"/>
      <w:r>
        <w:rPr>
          <w:lang w:val="en-IN"/>
        </w:rPr>
        <w:t>With the assumption of isolation distance</w:t>
      </w:r>
      <w:r w:rsidR="00EA3ADD">
        <w:rPr>
          <w:lang w:val="en-IN"/>
        </w:rPr>
        <w:t xml:space="preserve"> of 1.5km</w:t>
      </w:r>
      <w:r w:rsidR="00551E9A">
        <w:rPr>
          <w:lang w:val="en-IN"/>
        </w:rPr>
        <w:t>, pre-liminary co-existence evaluation shows relaxed ACIR</w:t>
      </w:r>
      <w:r w:rsidR="00EA3ADD">
        <w:rPr>
          <w:lang w:val="en-IN"/>
        </w:rPr>
        <w:t xml:space="preserve"> requirements for both Case 4 and 5.</w:t>
      </w:r>
      <w:bookmarkEnd w:id="4"/>
      <w:r w:rsidR="00EA3ADD">
        <w:rPr>
          <w:lang w:val="en-IN"/>
        </w:rPr>
        <w:t xml:space="preserve"> </w:t>
      </w:r>
    </w:p>
    <w:p w14:paraId="4B423E37" w14:textId="77777777" w:rsidR="00AA0553" w:rsidRPr="00AA0553" w:rsidRDefault="00AA0553" w:rsidP="00AA0553">
      <w:pPr>
        <w:spacing w:line="240" w:lineRule="auto"/>
        <w:textAlignment w:val="center"/>
        <w:rPr>
          <w:rFonts w:eastAsia="Times New Roman" w:cs="Calibri"/>
          <w:lang w:val="en-IN" w:eastAsia="en-SE"/>
        </w:rPr>
      </w:pPr>
    </w:p>
    <w:p w14:paraId="1B446880" w14:textId="35AEBB42" w:rsidR="0044006A" w:rsidRPr="00BA4538" w:rsidRDefault="0044006A" w:rsidP="00BA4538">
      <w:pPr>
        <w:pStyle w:val="Heading3"/>
      </w:pPr>
      <w:r>
        <w:t>2.4</w:t>
      </w:r>
      <w:r>
        <w:tab/>
        <w:t>NTN HPUE ratio</w:t>
      </w:r>
    </w:p>
    <w:p w14:paraId="35A46B39" w14:textId="6B744B85" w:rsidR="0044006A" w:rsidRDefault="0044006A" w:rsidP="00967E5D">
      <w:pPr>
        <w:spacing w:after="0" w:line="240" w:lineRule="auto"/>
        <w:ind w:left="720"/>
        <w:textAlignment w:val="center"/>
        <w:rPr>
          <w:rFonts w:ascii="Calibri" w:eastAsia="Times New Roman" w:hAnsi="Calibri" w:cs="Calibri"/>
          <w:sz w:val="22"/>
          <w:lang w:val="en-IN" w:eastAsia="en-SE"/>
        </w:rPr>
      </w:pPr>
      <w:r>
        <w:rPr>
          <w:rFonts w:ascii="Calibri" w:eastAsia="Times New Roman" w:hAnsi="Calibri" w:cs="Calibri"/>
          <w:noProof/>
          <w:sz w:val="22"/>
          <w:lang w:val="en-IN" w:eastAsia="en-SE"/>
        </w:rPr>
        <w:drawing>
          <wp:inline distT="0" distB="0" distL="0" distR="0" wp14:anchorId="40DF29BE" wp14:editId="07ECBD8D">
            <wp:extent cx="6696075" cy="1247775"/>
            <wp:effectExtent l="114300" t="57150" r="123825" b="161925"/>
            <wp:docPr id="3267976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96075" cy="1247775"/>
                    </a:xfrm>
                    <a:prstGeom prst="rect">
                      <a:avLst/>
                    </a:prstGeom>
                    <a:noFill/>
                    <a:ln>
                      <a:noFill/>
                    </a:ln>
                    <a:effectLst>
                      <a:outerShdw blurRad="101600" dist="50800" dir="5400000" algn="ctr" rotWithShape="0">
                        <a:srgbClr val="000000">
                          <a:alpha val="59000"/>
                        </a:srgbClr>
                      </a:outerShdw>
                    </a:effectLst>
                  </pic:spPr>
                </pic:pic>
              </a:graphicData>
            </a:graphic>
          </wp:inline>
        </w:drawing>
      </w:r>
    </w:p>
    <w:p w14:paraId="34AFFFBD" w14:textId="77777777" w:rsidR="00152A67" w:rsidRDefault="00152A67" w:rsidP="00152A67">
      <w:pPr>
        <w:spacing w:after="0" w:line="240" w:lineRule="auto"/>
        <w:textAlignment w:val="center"/>
        <w:rPr>
          <w:rFonts w:ascii="Calibri" w:eastAsia="Times New Roman" w:hAnsi="Calibri" w:cs="Calibri"/>
          <w:sz w:val="22"/>
          <w:lang w:val="en-IN" w:eastAsia="en-SE"/>
        </w:rPr>
      </w:pPr>
    </w:p>
    <w:p w14:paraId="6F6E062D" w14:textId="77777777" w:rsidR="00152A67" w:rsidRDefault="00152A67" w:rsidP="00152A67">
      <w:pPr>
        <w:spacing w:after="0" w:line="240" w:lineRule="auto"/>
        <w:textAlignment w:val="center"/>
        <w:rPr>
          <w:rFonts w:ascii="Calibri" w:eastAsia="Times New Roman" w:hAnsi="Calibri" w:cs="Calibri"/>
          <w:sz w:val="22"/>
          <w:lang w:val="en-IN" w:eastAsia="en-SE"/>
        </w:rPr>
      </w:pPr>
    </w:p>
    <w:p w14:paraId="0CBDE3BD" w14:textId="770A495D" w:rsidR="00152A67" w:rsidRDefault="001555D7" w:rsidP="00152A67">
      <w:pPr>
        <w:spacing w:after="0" w:line="240" w:lineRule="auto"/>
        <w:textAlignment w:val="center"/>
        <w:rPr>
          <w:rFonts w:ascii="Calibri" w:eastAsia="Times New Roman" w:hAnsi="Calibri" w:cs="Calibri"/>
          <w:sz w:val="22"/>
          <w:lang w:val="en-IN" w:eastAsia="en-SE"/>
        </w:rPr>
      </w:pPr>
      <w:r>
        <w:rPr>
          <w:rFonts w:ascii="Calibri" w:eastAsia="Times New Roman" w:hAnsi="Calibri" w:cs="Calibri"/>
          <w:sz w:val="22"/>
          <w:lang w:val="en-IN" w:eastAsia="en-SE"/>
        </w:rPr>
        <w:t>It is important to consider the worst case when deciding</w:t>
      </w:r>
      <w:r w:rsidR="00926B60">
        <w:rPr>
          <w:rFonts w:ascii="Calibri" w:eastAsia="Times New Roman" w:hAnsi="Calibri" w:cs="Calibri"/>
          <w:sz w:val="22"/>
          <w:lang w:val="en-IN" w:eastAsia="en-SE"/>
        </w:rPr>
        <w:t xml:space="preserve"> on other </w:t>
      </w:r>
      <w:r w:rsidR="00E86FAD">
        <w:rPr>
          <w:rFonts w:ascii="Calibri" w:eastAsia="Times New Roman" w:hAnsi="Calibri" w:cs="Calibri"/>
          <w:sz w:val="22"/>
          <w:lang w:val="en-IN" w:eastAsia="en-SE"/>
        </w:rPr>
        <w:t>ratio values</w:t>
      </w:r>
      <w:r w:rsidR="004A308C">
        <w:rPr>
          <w:rFonts w:ascii="Calibri" w:eastAsia="Times New Roman" w:hAnsi="Calibri" w:cs="Calibri"/>
          <w:sz w:val="22"/>
          <w:lang w:val="en-IN" w:eastAsia="en-SE"/>
        </w:rPr>
        <w:t xml:space="preserve"> to reduce simulation efforts and possible combinations</w:t>
      </w:r>
      <w:r w:rsidR="00E86FAD">
        <w:rPr>
          <w:rFonts w:ascii="Calibri" w:eastAsia="Times New Roman" w:hAnsi="Calibri" w:cs="Calibri"/>
          <w:sz w:val="22"/>
          <w:lang w:val="en-IN" w:eastAsia="en-SE"/>
        </w:rPr>
        <w:t xml:space="preserve">. We believe that the worst case would be when </w:t>
      </w:r>
      <w:r w:rsidR="007A5258">
        <w:rPr>
          <w:rFonts w:ascii="Calibri" w:eastAsia="Times New Roman" w:hAnsi="Calibri" w:cs="Calibri"/>
          <w:sz w:val="22"/>
          <w:lang w:val="en-IN" w:eastAsia="en-SE"/>
        </w:rPr>
        <w:t xml:space="preserve">all NTN UEs </w:t>
      </w:r>
      <w:r w:rsidR="004A308C">
        <w:rPr>
          <w:rFonts w:ascii="Calibri" w:eastAsia="Times New Roman" w:hAnsi="Calibri" w:cs="Calibri"/>
          <w:sz w:val="22"/>
          <w:lang w:val="en-IN" w:eastAsia="en-SE"/>
        </w:rPr>
        <w:t>are</w:t>
      </w:r>
      <w:r w:rsidR="007A5258">
        <w:rPr>
          <w:rFonts w:ascii="Calibri" w:eastAsia="Times New Roman" w:hAnsi="Calibri" w:cs="Calibri"/>
          <w:sz w:val="22"/>
          <w:lang w:val="en-IN" w:eastAsia="en-SE"/>
        </w:rPr>
        <w:t xml:space="preserve"> HPUE</w:t>
      </w:r>
      <w:r w:rsidR="007C610C">
        <w:rPr>
          <w:rFonts w:ascii="Calibri" w:eastAsia="Times New Roman" w:hAnsi="Calibri" w:cs="Calibri"/>
          <w:sz w:val="22"/>
          <w:lang w:val="en-IN" w:eastAsia="en-SE"/>
        </w:rPr>
        <w:t xml:space="preserve"> with full buffer traffic model</w:t>
      </w:r>
      <w:r w:rsidR="007A5258">
        <w:rPr>
          <w:rFonts w:ascii="Calibri" w:eastAsia="Times New Roman" w:hAnsi="Calibri" w:cs="Calibri"/>
          <w:sz w:val="22"/>
          <w:lang w:val="en-IN" w:eastAsia="en-SE"/>
        </w:rPr>
        <w:t xml:space="preserve">, causing </w:t>
      </w:r>
      <w:r w:rsidR="001D6484">
        <w:rPr>
          <w:rFonts w:ascii="Calibri" w:eastAsia="Times New Roman" w:hAnsi="Calibri" w:cs="Calibri"/>
          <w:sz w:val="22"/>
          <w:lang w:val="en-IN" w:eastAsia="en-SE"/>
        </w:rPr>
        <w:t>maximum</w:t>
      </w:r>
      <w:r w:rsidR="004A308C">
        <w:rPr>
          <w:rFonts w:ascii="Calibri" w:eastAsia="Times New Roman" w:hAnsi="Calibri" w:cs="Calibri"/>
          <w:sz w:val="22"/>
          <w:lang w:val="en-IN" w:eastAsia="en-SE"/>
        </w:rPr>
        <w:t xml:space="preserve"> interference</w:t>
      </w:r>
      <w:r w:rsidR="00C84EBF">
        <w:rPr>
          <w:rFonts w:ascii="Calibri" w:eastAsia="Times New Roman" w:hAnsi="Calibri" w:cs="Calibri"/>
          <w:sz w:val="22"/>
          <w:lang w:val="en-IN" w:eastAsia="en-SE"/>
        </w:rPr>
        <w:t xml:space="preserve"> effect</w:t>
      </w:r>
      <w:r w:rsidR="004A308C">
        <w:rPr>
          <w:rFonts w:ascii="Calibri" w:eastAsia="Times New Roman" w:hAnsi="Calibri" w:cs="Calibri"/>
          <w:sz w:val="22"/>
          <w:lang w:val="en-IN" w:eastAsia="en-SE"/>
        </w:rPr>
        <w:t xml:space="preserve"> in the network. </w:t>
      </w:r>
    </w:p>
    <w:p w14:paraId="1E8B7964" w14:textId="77777777" w:rsidR="00152A67" w:rsidRDefault="00152A67" w:rsidP="00152A67">
      <w:pPr>
        <w:spacing w:after="0" w:line="240" w:lineRule="auto"/>
        <w:textAlignment w:val="center"/>
        <w:rPr>
          <w:rFonts w:ascii="Calibri" w:eastAsia="Times New Roman" w:hAnsi="Calibri" w:cs="Calibri"/>
          <w:sz w:val="22"/>
          <w:lang w:val="en-IN" w:eastAsia="en-SE"/>
        </w:rPr>
      </w:pPr>
    </w:p>
    <w:p w14:paraId="4AFFC506" w14:textId="77777777" w:rsidR="00152A67" w:rsidRDefault="00152A67" w:rsidP="00152A67">
      <w:pPr>
        <w:spacing w:after="0" w:line="240" w:lineRule="auto"/>
        <w:textAlignment w:val="center"/>
        <w:rPr>
          <w:rFonts w:ascii="Calibri" w:eastAsia="Times New Roman" w:hAnsi="Calibri" w:cs="Calibri"/>
          <w:sz w:val="22"/>
          <w:lang w:val="en-IN" w:eastAsia="en-SE"/>
        </w:rPr>
      </w:pPr>
    </w:p>
    <w:p w14:paraId="2E3622D0" w14:textId="1A09F6CE" w:rsidR="00152A67" w:rsidRDefault="00E76600" w:rsidP="00E76600">
      <w:pPr>
        <w:pStyle w:val="Proposal"/>
        <w:rPr>
          <w:lang w:val="en-IN"/>
        </w:rPr>
      </w:pPr>
      <w:bookmarkStart w:id="5" w:name="_Toc179215659"/>
      <w:r>
        <w:rPr>
          <w:lang w:val="en-IN"/>
        </w:rPr>
        <w:t>RAN4 to consider all</w:t>
      </w:r>
      <w:r w:rsidR="00B468AB">
        <w:rPr>
          <w:lang w:val="en-IN"/>
        </w:rPr>
        <w:t xml:space="preserve"> NR</w:t>
      </w:r>
      <w:r>
        <w:rPr>
          <w:lang w:val="en-IN"/>
        </w:rPr>
        <w:t xml:space="preserve"> NTN</w:t>
      </w:r>
      <w:r w:rsidR="00B468AB">
        <w:rPr>
          <w:lang w:val="en-IN"/>
        </w:rPr>
        <w:t>/ NB-IoT NTN</w:t>
      </w:r>
      <w:r>
        <w:rPr>
          <w:lang w:val="en-IN"/>
        </w:rPr>
        <w:t xml:space="preserve"> UEs as HPUEs</w:t>
      </w:r>
      <w:r w:rsidR="001D6484">
        <w:rPr>
          <w:lang w:val="en-IN"/>
        </w:rPr>
        <w:t>, taking it as the worst-case scenario.</w:t>
      </w:r>
      <w:bookmarkEnd w:id="5"/>
      <w:r w:rsidR="001D6484">
        <w:rPr>
          <w:lang w:val="en-IN"/>
        </w:rPr>
        <w:t xml:space="preserve"> </w:t>
      </w:r>
    </w:p>
    <w:p w14:paraId="2072C418" w14:textId="77777777" w:rsidR="00152A67" w:rsidRDefault="00152A67" w:rsidP="00152A67">
      <w:pPr>
        <w:spacing w:after="0" w:line="240" w:lineRule="auto"/>
        <w:textAlignment w:val="center"/>
        <w:rPr>
          <w:rFonts w:ascii="Calibri" w:eastAsia="Times New Roman" w:hAnsi="Calibri" w:cs="Calibri"/>
          <w:sz w:val="22"/>
          <w:lang w:val="en-IN" w:eastAsia="en-SE"/>
        </w:rPr>
      </w:pPr>
    </w:p>
    <w:p w14:paraId="4C0C505A" w14:textId="77777777" w:rsidR="00152A67" w:rsidRDefault="00152A67" w:rsidP="00152A67">
      <w:pPr>
        <w:spacing w:after="0" w:line="240" w:lineRule="auto"/>
        <w:textAlignment w:val="center"/>
        <w:rPr>
          <w:rFonts w:ascii="Calibri" w:eastAsia="Times New Roman" w:hAnsi="Calibri" w:cs="Calibri"/>
          <w:sz w:val="22"/>
          <w:lang w:val="en-IN" w:eastAsia="en-SE"/>
        </w:rPr>
      </w:pPr>
    </w:p>
    <w:p w14:paraId="5B9E4B81" w14:textId="28A76968" w:rsidR="00152A67" w:rsidRDefault="00152A67" w:rsidP="00152A67">
      <w:pPr>
        <w:pStyle w:val="Heading3"/>
      </w:pPr>
      <w:r>
        <w:t>2.5</w:t>
      </w:r>
      <w:r>
        <w:tab/>
        <w:t>TN network topology – with/ without wrap around functionality</w:t>
      </w:r>
    </w:p>
    <w:p w14:paraId="24C28C85" w14:textId="77777777" w:rsidR="00BD5975" w:rsidRDefault="00BD5975" w:rsidP="00BD5975">
      <w:pPr>
        <w:rPr>
          <w:lang w:val="en-GB" w:eastAsia="ja-JP"/>
        </w:rPr>
      </w:pPr>
    </w:p>
    <w:p w14:paraId="44ADB0E1" w14:textId="7C39D4D7" w:rsidR="00BD5975" w:rsidRPr="00BD5975" w:rsidRDefault="00BD5975" w:rsidP="00BD5975">
      <w:pPr>
        <w:rPr>
          <w:lang w:val="en-GB" w:eastAsia="ja-JP"/>
        </w:rPr>
      </w:pPr>
      <w:r>
        <w:rPr>
          <w:noProof/>
          <w:lang w:val="en-GB" w:eastAsia="ja-JP"/>
        </w:rPr>
        <w:drawing>
          <wp:inline distT="0" distB="0" distL="0" distR="0" wp14:anchorId="6E7CB134" wp14:editId="60428BF8">
            <wp:extent cx="7362825" cy="981075"/>
            <wp:effectExtent l="114300" t="57150" r="123825" b="161925"/>
            <wp:docPr id="3141359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62825" cy="981075"/>
                    </a:xfrm>
                    <a:prstGeom prst="rect">
                      <a:avLst/>
                    </a:prstGeom>
                    <a:noFill/>
                    <a:ln>
                      <a:noFill/>
                    </a:ln>
                    <a:effectLst>
                      <a:outerShdw blurRad="101600" dist="50800" dir="5400000" algn="ctr" rotWithShape="0">
                        <a:srgbClr val="000000">
                          <a:alpha val="59000"/>
                        </a:srgbClr>
                      </a:outerShdw>
                    </a:effectLst>
                  </pic:spPr>
                </pic:pic>
              </a:graphicData>
            </a:graphic>
          </wp:inline>
        </w:drawing>
      </w:r>
    </w:p>
    <w:p w14:paraId="679FFCF9" w14:textId="77777777" w:rsidR="00FF7D89" w:rsidRDefault="00FF7D89" w:rsidP="00FF7D89">
      <w:pPr>
        <w:spacing w:after="0" w:line="240" w:lineRule="auto"/>
        <w:textAlignment w:val="center"/>
        <w:rPr>
          <w:rFonts w:ascii="Calibri" w:eastAsia="Times New Roman" w:hAnsi="Calibri" w:cs="Calibri"/>
          <w:sz w:val="22"/>
          <w:lang w:val="en-IN" w:eastAsia="en-SE"/>
        </w:rPr>
      </w:pPr>
    </w:p>
    <w:p w14:paraId="4CE78081" w14:textId="632403F9" w:rsidR="00FF7D89" w:rsidRDefault="00E24B1F" w:rsidP="00FF7D89">
      <w:pPr>
        <w:spacing w:after="0" w:line="240" w:lineRule="auto"/>
        <w:textAlignment w:val="center"/>
        <w:rPr>
          <w:rFonts w:ascii="Calibri" w:eastAsia="Times New Roman" w:hAnsi="Calibri" w:cs="Calibri"/>
          <w:sz w:val="22"/>
          <w:lang w:val="en-IN" w:eastAsia="en-SE"/>
        </w:rPr>
      </w:pPr>
      <w:r>
        <w:rPr>
          <w:rFonts w:ascii="Calibri" w:eastAsia="Times New Roman" w:hAnsi="Calibri" w:cs="Calibri"/>
          <w:sz w:val="22"/>
          <w:lang w:val="en-IN" w:eastAsia="en-SE"/>
        </w:rPr>
        <w:t xml:space="preserve">In our companion </w:t>
      </w:r>
      <w:r w:rsidRPr="002E592D">
        <w:rPr>
          <w:rFonts w:ascii="Calibri" w:eastAsia="Times New Roman" w:hAnsi="Calibri" w:cs="Calibri"/>
          <w:sz w:val="22"/>
          <w:lang w:val="en-IN" w:eastAsia="en-SE"/>
        </w:rPr>
        <w:t>contribution</w:t>
      </w:r>
      <w:r w:rsidR="00FB1AEE" w:rsidRPr="002E592D">
        <w:rPr>
          <w:rFonts w:ascii="Calibri" w:eastAsia="Times New Roman" w:hAnsi="Calibri" w:cs="Calibri"/>
          <w:sz w:val="22"/>
          <w:lang w:val="en-IN" w:eastAsia="en-SE"/>
        </w:rPr>
        <w:t xml:space="preserve"> [</w:t>
      </w:r>
      <w:r w:rsidR="005459B3" w:rsidRPr="002E592D">
        <w:rPr>
          <w:rFonts w:ascii="Calibri" w:eastAsia="Times New Roman" w:hAnsi="Calibri" w:cs="Calibri"/>
          <w:sz w:val="22"/>
          <w:lang w:val="en-IN" w:eastAsia="en-SE"/>
        </w:rPr>
        <w:t>4</w:t>
      </w:r>
      <w:r w:rsidR="00FB1AEE" w:rsidRPr="002E592D">
        <w:rPr>
          <w:rFonts w:ascii="Calibri" w:eastAsia="Times New Roman" w:hAnsi="Calibri" w:cs="Calibri"/>
          <w:sz w:val="22"/>
          <w:lang w:val="en-IN" w:eastAsia="en-SE"/>
        </w:rPr>
        <w:t>]</w:t>
      </w:r>
      <w:r w:rsidRPr="002E592D">
        <w:rPr>
          <w:rFonts w:ascii="Calibri" w:eastAsia="Times New Roman" w:hAnsi="Calibri" w:cs="Calibri"/>
          <w:sz w:val="22"/>
          <w:lang w:val="en-IN" w:eastAsia="en-SE"/>
        </w:rPr>
        <w:t>, we</w:t>
      </w:r>
      <w:r>
        <w:rPr>
          <w:rFonts w:ascii="Calibri" w:eastAsia="Times New Roman" w:hAnsi="Calibri" w:cs="Calibri"/>
          <w:sz w:val="22"/>
          <w:lang w:val="en-IN" w:eastAsia="en-SE"/>
        </w:rPr>
        <w:t xml:space="preserve"> have presented our pre-liminary results </w:t>
      </w:r>
      <w:r w:rsidR="00FB1AEE">
        <w:rPr>
          <w:rFonts w:ascii="Calibri" w:eastAsia="Times New Roman" w:hAnsi="Calibri" w:cs="Calibri"/>
          <w:sz w:val="22"/>
          <w:lang w:val="en-IN" w:eastAsia="en-SE"/>
        </w:rPr>
        <w:t xml:space="preserve">with wrap around functionality. </w:t>
      </w:r>
    </w:p>
    <w:p w14:paraId="0E2327D6" w14:textId="77777777" w:rsidR="00DB4190" w:rsidRDefault="00DB4190" w:rsidP="00FF7D89">
      <w:pPr>
        <w:spacing w:after="0" w:line="240" w:lineRule="auto"/>
        <w:textAlignment w:val="center"/>
        <w:rPr>
          <w:rFonts w:ascii="Calibri" w:eastAsia="Times New Roman" w:hAnsi="Calibri" w:cs="Calibri"/>
          <w:sz w:val="22"/>
          <w:lang w:val="en-IN" w:eastAsia="en-SE"/>
        </w:rPr>
      </w:pPr>
    </w:p>
    <w:p w14:paraId="18A8EEC5" w14:textId="2671B9A4" w:rsidR="00AB63D1" w:rsidRDefault="00153AF6" w:rsidP="00FF7D89">
      <w:pPr>
        <w:spacing w:after="0" w:line="240" w:lineRule="auto"/>
        <w:textAlignment w:val="center"/>
        <w:rPr>
          <w:rFonts w:ascii="Calibri" w:eastAsia="Times New Roman" w:hAnsi="Calibri" w:cs="Calibri"/>
          <w:sz w:val="22"/>
          <w:lang w:val="en-IN" w:eastAsia="en-SE"/>
        </w:rPr>
      </w:pPr>
      <w:r>
        <w:rPr>
          <w:rFonts w:ascii="Calibri" w:eastAsia="Times New Roman" w:hAnsi="Calibri" w:cs="Calibri"/>
          <w:sz w:val="22"/>
          <w:lang w:val="en-IN" w:eastAsia="en-SE"/>
        </w:rPr>
        <w:t xml:space="preserve">The wrap around of TN is used to derive the SINR of victim TN. </w:t>
      </w:r>
      <w:r w:rsidR="006829C0">
        <w:rPr>
          <w:rFonts w:ascii="Calibri" w:eastAsia="Times New Roman" w:hAnsi="Calibri" w:cs="Calibri"/>
          <w:sz w:val="22"/>
          <w:lang w:val="en-IN" w:eastAsia="en-SE"/>
        </w:rPr>
        <w:t>When wrap around is not implemented</w:t>
      </w:r>
      <w:r w:rsidR="00444426">
        <w:rPr>
          <w:rFonts w:ascii="Calibri" w:eastAsia="Times New Roman" w:hAnsi="Calibri" w:cs="Calibri"/>
          <w:sz w:val="22"/>
          <w:lang w:val="en-IN" w:eastAsia="en-SE"/>
        </w:rPr>
        <w:t xml:space="preserve"> in simulation studies, </w:t>
      </w:r>
      <w:r w:rsidR="006829C0">
        <w:rPr>
          <w:rFonts w:ascii="Calibri" w:eastAsia="Times New Roman" w:hAnsi="Calibri" w:cs="Calibri"/>
          <w:sz w:val="22"/>
          <w:lang w:val="en-IN" w:eastAsia="en-SE"/>
        </w:rPr>
        <w:t>there is a possibility to see unrealistically higher coverage and better SINR</w:t>
      </w:r>
      <w:r w:rsidR="00976872">
        <w:rPr>
          <w:rFonts w:ascii="Calibri" w:eastAsia="Times New Roman" w:hAnsi="Calibri" w:cs="Calibri"/>
          <w:sz w:val="22"/>
          <w:lang w:val="en-IN" w:eastAsia="en-SE"/>
        </w:rPr>
        <w:t xml:space="preserve"> pointing to </w:t>
      </w:r>
      <w:r w:rsidR="00265BFB">
        <w:rPr>
          <w:rFonts w:ascii="Calibri" w:eastAsia="Times New Roman" w:hAnsi="Calibri" w:cs="Calibri"/>
          <w:sz w:val="22"/>
          <w:lang w:val="en-IN" w:eastAsia="en-SE"/>
        </w:rPr>
        <w:t>over optimistic results</w:t>
      </w:r>
      <w:r w:rsidR="0005443F">
        <w:rPr>
          <w:rFonts w:ascii="Calibri" w:eastAsia="Times New Roman" w:hAnsi="Calibri" w:cs="Calibri"/>
          <w:sz w:val="22"/>
          <w:lang w:val="en-IN" w:eastAsia="en-SE"/>
        </w:rPr>
        <w:t xml:space="preserve">. When wrap around is implemented, </w:t>
      </w:r>
      <w:r w:rsidR="00FA2761">
        <w:rPr>
          <w:rFonts w:ascii="Calibri" w:eastAsia="Times New Roman" w:hAnsi="Calibri" w:cs="Calibri"/>
          <w:sz w:val="22"/>
          <w:lang w:val="en-IN" w:eastAsia="en-SE"/>
        </w:rPr>
        <w:t>the effect of interference is statistically equivalent across the simulation area.</w:t>
      </w:r>
      <w:r w:rsidR="008D6F8D">
        <w:rPr>
          <w:rFonts w:ascii="Calibri" w:eastAsia="Times New Roman" w:hAnsi="Calibri" w:cs="Calibri"/>
          <w:sz w:val="22"/>
          <w:lang w:val="en-IN" w:eastAsia="en-SE"/>
        </w:rPr>
        <w:t xml:space="preserve"> </w:t>
      </w:r>
      <w:r w:rsidR="00AB63D1">
        <w:rPr>
          <w:rFonts w:ascii="Calibri" w:eastAsia="Times New Roman" w:hAnsi="Calibri" w:cs="Calibri"/>
          <w:sz w:val="22"/>
          <w:lang w:val="en-IN" w:eastAsia="en-SE"/>
        </w:rPr>
        <w:t xml:space="preserve">It is viable to say that the effect of SINR may be more prominent for the cell edge UEs </w:t>
      </w:r>
      <w:r w:rsidR="008516EA">
        <w:rPr>
          <w:rFonts w:ascii="Calibri" w:eastAsia="Times New Roman" w:hAnsi="Calibri" w:cs="Calibri"/>
          <w:sz w:val="22"/>
          <w:lang w:val="en-IN" w:eastAsia="en-SE"/>
        </w:rPr>
        <w:t xml:space="preserve">since they will operate in low SINR region. </w:t>
      </w:r>
    </w:p>
    <w:p w14:paraId="7A3B97EA" w14:textId="6A7DF2E5" w:rsidR="008516EA" w:rsidRDefault="00E43900" w:rsidP="00FF7D89">
      <w:pPr>
        <w:spacing w:after="0" w:line="240" w:lineRule="auto"/>
        <w:textAlignment w:val="center"/>
        <w:rPr>
          <w:rFonts w:ascii="Calibri" w:eastAsia="Times New Roman" w:hAnsi="Calibri" w:cs="Calibri"/>
          <w:sz w:val="22"/>
          <w:lang w:val="en-IN" w:eastAsia="en-SE"/>
        </w:rPr>
      </w:pPr>
      <w:r>
        <w:rPr>
          <w:rFonts w:ascii="Calibri" w:eastAsia="Times New Roman" w:hAnsi="Calibri" w:cs="Calibri"/>
          <w:sz w:val="22"/>
          <w:lang w:val="en-IN" w:eastAsia="en-SE"/>
        </w:rPr>
        <w:t xml:space="preserve">If the other companies are certain to disable wrap around, one option is </w:t>
      </w:r>
      <w:r w:rsidR="007F1B2C">
        <w:rPr>
          <w:rFonts w:ascii="Calibri" w:eastAsia="Times New Roman" w:hAnsi="Calibri" w:cs="Calibri"/>
          <w:sz w:val="22"/>
          <w:lang w:val="en-IN" w:eastAsia="en-SE"/>
        </w:rPr>
        <w:t xml:space="preserve">to only evaluate the TN BS </w:t>
      </w:r>
      <w:r w:rsidR="00F325DF">
        <w:rPr>
          <w:rFonts w:ascii="Calibri" w:eastAsia="Times New Roman" w:hAnsi="Calibri" w:cs="Calibri"/>
          <w:sz w:val="22"/>
          <w:lang w:val="en-IN" w:eastAsia="en-SE"/>
        </w:rPr>
        <w:t xml:space="preserve">in the “central 19 TN cells cluster”, and </w:t>
      </w:r>
      <w:r w:rsidR="00301071">
        <w:rPr>
          <w:rFonts w:ascii="Calibri" w:eastAsia="Times New Roman" w:hAnsi="Calibri" w:cs="Calibri"/>
          <w:sz w:val="22"/>
          <w:lang w:val="en-IN" w:eastAsia="en-SE"/>
        </w:rPr>
        <w:t xml:space="preserve">not evaluate the TN BS in “wrap around TN cells”. </w:t>
      </w:r>
      <w:r w:rsidR="0034455D">
        <w:rPr>
          <w:rFonts w:ascii="Calibri" w:eastAsia="Times New Roman" w:hAnsi="Calibri" w:cs="Calibri"/>
          <w:sz w:val="22"/>
          <w:lang w:val="en-IN" w:eastAsia="en-SE"/>
        </w:rPr>
        <w:t>With this</w:t>
      </w:r>
      <w:r w:rsidR="00674D9C">
        <w:rPr>
          <w:rFonts w:ascii="Calibri" w:eastAsia="Times New Roman" w:hAnsi="Calibri" w:cs="Calibri"/>
          <w:sz w:val="22"/>
          <w:lang w:val="en-IN" w:eastAsia="en-SE"/>
        </w:rPr>
        <w:t xml:space="preserve">, the wrap around TN cells </w:t>
      </w:r>
      <w:r w:rsidR="008D6F8D">
        <w:rPr>
          <w:rFonts w:ascii="Calibri" w:eastAsia="Times New Roman" w:hAnsi="Calibri" w:cs="Calibri"/>
          <w:sz w:val="22"/>
          <w:lang w:val="en-IN" w:eastAsia="en-SE"/>
        </w:rPr>
        <w:t>is</w:t>
      </w:r>
      <w:r w:rsidR="00674D9C">
        <w:rPr>
          <w:rFonts w:ascii="Calibri" w:eastAsia="Times New Roman" w:hAnsi="Calibri" w:cs="Calibri"/>
          <w:sz w:val="22"/>
          <w:lang w:val="en-IN" w:eastAsia="en-SE"/>
        </w:rPr>
        <w:t xml:space="preserve"> only needed to calculate the TN SINRs and </w:t>
      </w:r>
      <w:r w:rsidR="008D6F8D">
        <w:rPr>
          <w:rFonts w:ascii="Calibri" w:eastAsia="Times New Roman" w:hAnsi="Calibri" w:cs="Calibri"/>
          <w:sz w:val="22"/>
          <w:lang w:val="en-IN" w:eastAsia="en-SE"/>
        </w:rPr>
        <w:t>do not affect the NTN UE. Hence, they will not be treated as interfered TN BS.</w:t>
      </w:r>
      <w:r w:rsidR="00DF6D9F">
        <w:rPr>
          <w:rFonts w:ascii="Calibri" w:eastAsia="Times New Roman" w:hAnsi="Calibri" w:cs="Calibri"/>
          <w:sz w:val="22"/>
          <w:lang w:val="en-IN" w:eastAsia="en-SE"/>
        </w:rPr>
        <w:t xml:space="preserve"> </w:t>
      </w:r>
    </w:p>
    <w:p w14:paraId="169FA7C0" w14:textId="77777777" w:rsidR="008D6F8D" w:rsidRDefault="008D6F8D" w:rsidP="00FF7D89">
      <w:pPr>
        <w:spacing w:after="0" w:line="240" w:lineRule="auto"/>
        <w:textAlignment w:val="center"/>
        <w:rPr>
          <w:rFonts w:ascii="Calibri" w:eastAsia="Times New Roman" w:hAnsi="Calibri" w:cs="Calibri"/>
          <w:sz w:val="22"/>
          <w:lang w:val="en-IN" w:eastAsia="en-SE"/>
        </w:rPr>
      </w:pPr>
    </w:p>
    <w:p w14:paraId="5E793772" w14:textId="5AEB0EAA" w:rsidR="008D6F8D" w:rsidRDefault="00D22038" w:rsidP="008D6F8D">
      <w:pPr>
        <w:pStyle w:val="Proposal"/>
        <w:rPr>
          <w:lang w:val="en-IN"/>
        </w:rPr>
      </w:pPr>
      <w:bookmarkStart w:id="6" w:name="_Toc179215660"/>
      <w:r>
        <w:rPr>
          <w:lang w:val="en-IN"/>
        </w:rPr>
        <w:t xml:space="preserve">RAN4 to prioritize wrap around functionality </w:t>
      </w:r>
      <w:r w:rsidR="00DF6D9F">
        <w:rPr>
          <w:lang w:val="en-IN"/>
        </w:rPr>
        <w:t>as it impacts the derivation of SINR for victim TN BS.</w:t>
      </w:r>
      <w:bookmarkEnd w:id="6"/>
    </w:p>
    <w:p w14:paraId="094051EF" w14:textId="77777777" w:rsidR="00FF7D89" w:rsidRDefault="00FF7D89" w:rsidP="00FF7D89">
      <w:pPr>
        <w:spacing w:after="0" w:line="240" w:lineRule="auto"/>
        <w:textAlignment w:val="center"/>
        <w:rPr>
          <w:rFonts w:ascii="Calibri" w:eastAsia="Times New Roman" w:hAnsi="Calibri" w:cs="Calibri"/>
          <w:sz w:val="22"/>
          <w:lang w:val="en-IN" w:eastAsia="en-SE"/>
        </w:rPr>
      </w:pPr>
    </w:p>
    <w:p w14:paraId="28471647" w14:textId="4272EC9C" w:rsidR="0044006A" w:rsidRPr="00242C6C" w:rsidRDefault="0044006A" w:rsidP="00242C6C">
      <w:pPr>
        <w:pStyle w:val="Heading3"/>
      </w:pPr>
      <w:r w:rsidRPr="00242C6C">
        <w:t>2.</w:t>
      </w:r>
      <w:r w:rsidR="00152A67">
        <w:t>6</w:t>
      </w:r>
      <w:r w:rsidRPr="00242C6C">
        <w:tab/>
      </w:r>
      <w:r w:rsidR="00242C6C" w:rsidRPr="00242C6C">
        <w:t>IoT NTN UE UL number a</w:t>
      </w:r>
      <w:r w:rsidR="00242C6C">
        <w:t>nd SCS</w:t>
      </w:r>
    </w:p>
    <w:p w14:paraId="38FCF81C" w14:textId="77777777" w:rsidR="00242C6C" w:rsidRDefault="00242C6C" w:rsidP="00242C6C">
      <w:pPr>
        <w:spacing w:after="0" w:line="240" w:lineRule="auto"/>
        <w:textAlignment w:val="center"/>
        <w:rPr>
          <w:rFonts w:ascii="Calibri" w:eastAsia="Times New Roman" w:hAnsi="Calibri" w:cs="Calibri"/>
          <w:sz w:val="22"/>
          <w:lang w:eastAsia="en-SE"/>
        </w:rPr>
      </w:pPr>
    </w:p>
    <w:p w14:paraId="14A6126D" w14:textId="77777777" w:rsidR="00981100" w:rsidRDefault="00242C6C" w:rsidP="00981100">
      <w:pPr>
        <w:spacing w:after="0" w:line="240" w:lineRule="auto"/>
        <w:textAlignment w:val="center"/>
        <w:rPr>
          <w:rFonts w:ascii="Calibri" w:eastAsia="Times New Roman" w:hAnsi="Calibri" w:cs="Calibri"/>
          <w:sz w:val="22"/>
          <w:lang w:eastAsia="en-SE"/>
        </w:rPr>
      </w:pPr>
      <w:r>
        <w:rPr>
          <w:rFonts w:ascii="Calibri" w:eastAsia="Times New Roman" w:hAnsi="Calibri" w:cs="Calibri"/>
          <w:noProof/>
          <w:sz w:val="22"/>
          <w:lang w:eastAsia="en-SE"/>
        </w:rPr>
        <w:lastRenderedPageBreak/>
        <w:drawing>
          <wp:inline distT="0" distB="0" distL="0" distR="0" wp14:anchorId="7B75305B" wp14:editId="46D60A46">
            <wp:extent cx="6467475" cy="1240958"/>
            <wp:effectExtent l="114300" t="57150" r="104775" b="149860"/>
            <wp:docPr id="21145734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2583" cy="1241938"/>
                    </a:xfrm>
                    <a:prstGeom prst="rect">
                      <a:avLst/>
                    </a:prstGeom>
                    <a:noFill/>
                    <a:ln>
                      <a:noFill/>
                    </a:ln>
                    <a:effectLst>
                      <a:outerShdw blurRad="101600" dist="50800" dir="5400000" algn="ctr" rotWithShape="0">
                        <a:srgbClr val="000000">
                          <a:alpha val="59000"/>
                        </a:srgbClr>
                      </a:outerShdw>
                    </a:effectLst>
                  </pic:spPr>
                </pic:pic>
              </a:graphicData>
            </a:graphic>
          </wp:inline>
        </w:drawing>
      </w:r>
    </w:p>
    <w:p w14:paraId="04FBE1EE" w14:textId="77777777" w:rsidR="00981100" w:rsidRPr="0091245D" w:rsidRDefault="00981100" w:rsidP="00981100">
      <w:pPr>
        <w:spacing w:after="0" w:line="240" w:lineRule="auto"/>
        <w:textAlignment w:val="center"/>
        <w:rPr>
          <w:rFonts w:eastAsia="Times New Roman" w:cs="Arial"/>
          <w:sz w:val="22"/>
          <w:lang w:eastAsia="en-SE"/>
        </w:rPr>
      </w:pPr>
    </w:p>
    <w:p w14:paraId="4AA1C981" w14:textId="0C45BC35" w:rsidR="0091245D" w:rsidRDefault="00146BF5" w:rsidP="0091245D">
      <w:pPr>
        <w:spacing w:after="0" w:line="240" w:lineRule="auto"/>
        <w:textAlignment w:val="center"/>
        <w:rPr>
          <w:rFonts w:eastAsia="Times New Roman" w:cs="Arial"/>
          <w:sz w:val="22"/>
          <w:lang w:eastAsia="en-SE"/>
        </w:rPr>
      </w:pPr>
      <w:r w:rsidRPr="0091245D">
        <w:rPr>
          <w:rFonts w:eastAsia="Times New Roman" w:cs="Arial"/>
          <w:sz w:val="22"/>
          <w:lang w:eastAsia="en-SE"/>
        </w:rPr>
        <w:t xml:space="preserve">In our pre-liminary simulation results, we have considered 9 UEs as IoT-NTN UEs in UL with SCS as 15 KHz. </w:t>
      </w:r>
      <w:r w:rsidR="001477B9" w:rsidRPr="0091245D">
        <w:rPr>
          <w:rFonts w:eastAsia="Times New Roman" w:cs="Arial"/>
          <w:sz w:val="22"/>
          <w:lang w:eastAsia="en-SE"/>
        </w:rPr>
        <w:t>Considering Case 4</w:t>
      </w:r>
      <w:r w:rsidR="000C79E8" w:rsidRPr="0091245D">
        <w:rPr>
          <w:rFonts w:eastAsia="Times New Roman" w:cs="Arial"/>
          <w:sz w:val="22"/>
          <w:lang w:eastAsia="en-SE"/>
        </w:rPr>
        <w:t xml:space="preserve"> </w:t>
      </w:r>
      <w:r w:rsidR="001477B9" w:rsidRPr="0091245D">
        <w:rPr>
          <w:rFonts w:eastAsia="Times New Roman" w:cs="Arial"/>
          <w:sz w:val="22"/>
          <w:lang w:eastAsia="en-SE"/>
        </w:rPr>
        <w:t>when TN UL is victim</w:t>
      </w:r>
      <w:r w:rsidR="000C79E8" w:rsidRPr="0091245D">
        <w:rPr>
          <w:rFonts w:eastAsia="Times New Roman" w:cs="Arial"/>
          <w:sz w:val="22"/>
          <w:lang w:eastAsia="en-SE"/>
        </w:rPr>
        <w:t xml:space="preserve">, the worst ACIR requirements is </w:t>
      </w:r>
      <w:r w:rsidR="00F56C43" w:rsidRPr="0091245D">
        <w:rPr>
          <w:rFonts w:eastAsia="Times New Roman" w:cs="Arial"/>
          <w:sz w:val="22"/>
          <w:lang w:eastAsia="en-SE"/>
        </w:rPr>
        <w:t xml:space="preserve">34 dBm when considering PC1 without isolation distance. However, the ACIR requirements cannot be derived or are close 0 when isolation distance is considered. </w:t>
      </w:r>
      <w:r w:rsidR="00F56C43" w:rsidRPr="0091245D">
        <w:rPr>
          <w:rFonts w:eastAsia="Times New Roman" w:cs="Arial"/>
          <w:sz w:val="22"/>
          <w:lang w:eastAsia="en-SE"/>
        </w:rPr>
        <w:br/>
        <w:t xml:space="preserve">On that basis, we don’t see big impact on ACIR requirements when considering </w:t>
      </w:r>
      <w:proofErr w:type="gramStart"/>
      <w:r w:rsidR="00213867" w:rsidRPr="0091245D">
        <w:rPr>
          <w:rFonts w:eastAsia="Times New Roman" w:cs="Arial"/>
          <w:sz w:val="22"/>
          <w:lang w:eastAsia="en-SE"/>
        </w:rPr>
        <w:t>more</w:t>
      </w:r>
      <w:proofErr w:type="gramEnd"/>
      <w:r w:rsidR="00213867" w:rsidRPr="0091245D">
        <w:rPr>
          <w:rFonts w:eastAsia="Times New Roman" w:cs="Arial"/>
          <w:sz w:val="22"/>
          <w:lang w:eastAsia="en-SE"/>
        </w:rPr>
        <w:t xml:space="preserve"> number of IoT NTN UP </w:t>
      </w:r>
      <w:r w:rsidR="0091245D" w:rsidRPr="0091245D">
        <w:rPr>
          <w:rFonts w:eastAsia="Times New Roman" w:cs="Arial"/>
          <w:sz w:val="22"/>
          <w:lang w:eastAsia="en-SE"/>
        </w:rPr>
        <w:t>UEs or</w:t>
      </w:r>
      <w:r w:rsidR="001D2850" w:rsidRPr="0091245D">
        <w:rPr>
          <w:rFonts w:eastAsia="Times New Roman" w:cs="Arial"/>
          <w:sz w:val="22"/>
          <w:lang w:eastAsia="en-SE"/>
        </w:rPr>
        <w:t xml:space="preserve"> </w:t>
      </w:r>
      <w:r w:rsidR="0091245D" w:rsidRPr="0091245D">
        <w:rPr>
          <w:rFonts w:eastAsia="Times New Roman" w:cs="Arial"/>
          <w:sz w:val="22"/>
          <w:lang w:eastAsia="en-SE"/>
        </w:rPr>
        <w:t xml:space="preserve">smaller </w:t>
      </w:r>
      <w:r w:rsidR="005A792F" w:rsidRPr="0091245D">
        <w:rPr>
          <w:rFonts w:eastAsia="Times New Roman" w:cs="Arial"/>
          <w:sz w:val="22"/>
          <w:lang w:eastAsia="en-SE"/>
        </w:rPr>
        <w:t>SCS in</w:t>
      </w:r>
      <w:r w:rsidR="001D2850" w:rsidRPr="0091245D">
        <w:rPr>
          <w:rFonts w:eastAsia="Times New Roman" w:cs="Arial"/>
          <w:sz w:val="22"/>
          <w:lang w:eastAsia="en-SE"/>
        </w:rPr>
        <w:t xml:space="preserve"> these scenarios. </w:t>
      </w:r>
    </w:p>
    <w:p w14:paraId="40C47348" w14:textId="77777777" w:rsidR="0091245D" w:rsidRDefault="0091245D" w:rsidP="0091245D">
      <w:pPr>
        <w:spacing w:after="0" w:line="240" w:lineRule="auto"/>
        <w:textAlignment w:val="center"/>
        <w:rPr>
          <w:rFonts w:ascii="Calibri" w:eastAsia="Times New Roman" w:hAnsi="Calibri" w:cs="Calibri"/>
          <w:sz w:val="22"/>
          <w:lang w:val="en-IN" w:eastAsia="en-SE"/>
        </w:rPr>
      </w:pPr>
    </w:p>
    <w:p w14:paraId="4B877B2E" w14:textId="6EB4CDB5" w:rsidR="0091245D" w:rsidRDefault="004C31DD" w:rsidP="0091245D">
      <w:pPr>
        <w:pStyle w:val="Observation"/>
        <w:rPr>
          <w:lang w:val="en-IN"/>
        </w:rPr>
      </w:pPr>
      <w:bookmarkStart w:id="7" w:name="_Toc179215656"/>
      <w:r>
        <w:rPr>
          <w:lang w:val="en-IN"/>
        </w:rPr>
        <w:t xml:space="preserve">We don’t see big impact on ACIR requirements </w:t>
      </w:r>
      <w:r w:rsidR="005A792F">
        <w:rPr>
          <w:lang w:val="en-IN"/>
        </w:rPr>
        <w:t xml:space="preserve">with </w:t>
      </w:r>
      <w:proofErr w:type="gramStart"/>
      <w:r w:rsidR="005A792F">
        <w:rPr>
          <w:lang w:val="en-IN"/>
        </w:rPr>
        <w:t>more</w:t>
      </w:r>
      <w:proofErr w:type="gramEnd"/>
      <w:r w:rsidR="005A792F">
        <w:rPr>
          <w:lang w:val="en-IN"/>
        </w:rPr>
        <w:t xml:space="preserve"> number of IoT NTN UL UEs and smaller SCS when isolation distance is considered.</w:t>
      </w:r>
      <w:bookmarkEnd w:id="7"/>
      <w:r w:rsidR="005A792F">
        <w:rPr>
          <w:lang w:val="en-IN"/>
        </w:rPr>
        <w:t xml:space="preserve"> </w:t>
      </w:r>
    </w:p>
    <w:p w14:paraId="3879E8F8" w14:textId="29143E9C" w:rsidR="0091245D" w:rsidRPr="0091245D" w:rsidRDefault="0091245D" w:rsidP="0091245D">
      <w:pPr>
        <w:spacing w:after="0" w:line="240" w:lineRule="auto"/>
        <w:textAlignment w:val="center"/>
        <w:rPr>
          <w:rFonts w:eastAsia="Times New Roman" w:cs="Arial"/>
          <w:sz w:val="22"/>
          <w:lang w:val="en-IN" w:eastAsia="en-SE"/>
        </w:rPr>
        <w:sectPr w:rsidR="0091245D" w:rsidRPr="0091245D" w:rsidSect="00C473A5">
          <w:headerReference w:type="even" r:id="rId16"/>
          <w:footerReference w:type="default" r:id="rId17"/>
          <w:footnotePr>
            <w:numRestart w:val="eachSect"/>
          </w:footnotePr>
          <w:pgSz w:w="16840" w:h="11907" w:orient="landscape" w:code="9"/>
          <w:pgMar w:top="1134" w:right="1418" w:bottom="1134" w:left="1134" w:header="680" w:footer="567" w:gutter="0"/>
          <w:cols w:space="720"/>
          <w:docGrid w:linePitch="272"/>
        </w:sectPr>
      </w:pPr>
    </w:p>
    <w:p w14:paraId="37EB5693" w14:textId="77777777" w:rsidR="00C01F33" w:rsidRPr="00D0158D" w:rsidRDefault="00C01F33" w:rsidP="00CE0424">
      <w:pPr>
        <w:pStyle w:val="Heading1"/>
        <w:rPr>
          <w:lang w:val="en-US"/>
        </w:rPr>
      </w:pPr>
      <w:r w:rsidRPr="00D0158D">
        <w:rPr>
          <w:lang w:val="en-US"/>
        </w:rPr>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C8883AA" w14:textId="4ECDAC4E" w:rsidR="005A792F"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9215654" w:history="1">
        <w:r w:rsidR="005A792F" w:rsidRPr="00E961DC">
          <w:rPr>
            <w:rStyle w:val="Hyperlink"/>
            <w:noProof/>
          </w:rPr>
          <w:t>Observation 1</w:t>
        </w:r>
        <w:r w:rsidR="005A792F">
          <w:rPr>
            <w:rFonts w:asciiTheme="minorHAnsi" w:eastAsiaTheme="minorEastAsia" w:hAnsiTheme="minorHAnsi"/>
            <w:b w:val="0"/>
            <w:noProof/>
            <w:kern w:val="2"/>
            <w:sz w:val="22"/>
            <w:lang w:val="en-SE" w:eastAsia="en-SE"/>
            <w14:ligatures w14:val="standardContextual"/>
          </w:rPr>
          <w:tab/>
        </w:r>
        <w:r w:rsidR="005A792F" w:rsidRPr="00E961DC">
          <w:rPr>
            <w:rStyle w:val="Hyperlink"/>
            <w:noProof/>
          </w:rPr>
          <w:t>In Case 4 when TN UL is the victim, both Urban Macro and Rural scenarios show similar ACIR requirements when no isolation distance is considered.</w:t>
        </w:r>
      </w:hyperlink>
    </w:p>
    <w:p w14:paraId="1C300712" w14:textId="2475CC90" w:rsidR="005A792F" w:rsidRDefault="005A792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5655" w:history="1">
        <w:r w:rsidRPr="00E961DC">
          <w:rPr>
            <w:rStyle w:val="Hyperlink"/>
            <w:noProof/>
            <w:lang w:val="en-IN"/>
          </w:rPr>
          <w:t>Observation 2</w:t>
        </w:r>
        <w:r>
          <w:rPr>
            <w:rFonts w:asciiTheme="minorHAnsi" w:eastAsiaTheme="minorEastAsia" w:hAnsiTheme="minorHAnsi"/>
            <w:b w:val="0"/>
            <w:noProof/>
            <w:kern w:val="2"/>
            <w:sz w:val="22"/>
            <w:lang w:val="en-SE" w:eastAsia="en-SE"/>
            <w14:ligatures w14:val="standardContextual"/>
          </w:rPr>
          <w:tab/>
        </w:r>
        <w:r w:rsidRPr="00E961DC">
          <w:rPr>
            <w:rStyle w:val="Hyperlink"/>
            <w:noProof/>
            <w:lang w:val="en-IN"/>
          </w:rPr>
          <w:t>Further studies can be carried out to check the impact of reduced isolation distance on ACIR requirements other than 1.5km in Case 4.</w:t>
        </w:r>
      </w:hyperlink>
    </w:p>
    <w:p w14:paraId="798C102F" w14:textId="5C0DCDDA" w:rsidR="005A792F" w:rsidRDefault="005A792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5656" w:history="1">
        <w:r w:rsidRPr="00E961DC">
          <w:rPr>
            <w:rStyle w:val="Hyperlink"/>
            <w:noProof/>
            <w:lang w:val="en-IN"/>
          </w:rPr>
          <w:t>Observation 3</w:t>
        </w:r>
        <w:r>
          <w:rPr>
            <w:rFonts w:asciiTheme="minorHAnsi" w:eastAsiaTheme="minorEastAsia" w:hAnsiTheme="minorHAnsi"/>
            <w:b w:val="0"/>
            <w:noProof/>
            <w:kern w:val="2"/>
            <w:sz w:val="22"/>
            <w:lang w:val="en-SE" w:eastAsia="en-SE"/>
            <w14:ligatures w14:val="standardContextual"/>
          </w:rPr>
          <w:tab/>
        </w:r>
        <w:r w:rsidRPr="00E961DC">
          <w:rPr>
            <w:rStyle w:val="Hyperlink"/>
            <w:noProof/>
            <w:lang w:val="en-IN"/>
          </w:rPr>
          <w:t>We don’t see big impact on ACIR requirements with more number of IoT NTN UL UEs and smaller SCS when isolation distance is considered.</w:t>
        </w:r>
      </w:hyperlink>
    </w:p>
    <w:p w14:paraId="7D91EC5D" w14:textId="0D55C254"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1894A6" w14:textId="63BF0241" w:rsidR="005A792F"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9215657" w:history="1">
        <w:r w:rsidR="005A792F" w:rsidRPr="00C26AD3">
          <w:rPr>
            <w:rStyle w:val="Hyperlink"/>
            <w:noProof/>
            <w:lang w:val="en-GB"/>
          </w:rPr>
          <w:t>Proposal 1</w:t>
        </w:r>
        <w:r w:rsidR="005A792F">
          <w:rPr>
            <w:rFonts w:asciiTheme="minorHAnsi" w:eastAsiaTheme="minorEastAsia" w:hAnsiTheme="minorHAnsi"/>
            <w:b w:val="0"/>
            <w:noProof/>
            <w:kern w:val="2"/>
            <w:sz w:val="22"/>
            <w:lang w:val="en-SE" w:eastAsia="en-SE"/>
            <w14:ligatures w14:val="standardContextual"/>
          </w:rPr>
          <w:tab/>
        </w:r>
        <w:r w:rsidR="005A792F" w:rsidRPr="00C26AD3">
          <w:rPr>
            <w:rStyle w:val="Hyperlink"/>
            <w:noProof/>
            <w:lang w:val="en-GB"/>
          </w:rPr>
          <w:t>RAN4 should prioritize Case 4 when TN UL is victim for co-existence evaluation, considering it as the worst-case.</w:t>
        </w:r>
      </w:hyperlink>
    </w:p>
    <w:p w14:paraId="4F0B730E" w14:textId="25AD4193" w:rsidR="005A792F" w:rsidRDefault="005A792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5658" w:history="1">
        <w:r w:rsidRPr="00C26AD3">
          <w:rPr>
            <w:rStyle w:val="Hyperlink"/>
            <w:noProof/>
            <w:lang w:val="en-IN"/>
          </w:rPr>
          <w:t>Proposal 2</w:t>
        </w:r>
        <w:r>
          <w:rPr>
            <w:rFonts w:asciiTheme="minorHAnsi" w:eastAsiaTheme="minorEastAsia" w:hAnsiTheme="minorHAnsi"/>
            <w:b w:val="0"/>
            <w:noProof/>
            <w:kern w:val="2"/>
            <w:sz w:val="22"/>
            <w:lang w:val="en-SE" w:eastAsia="en-SE"/>
            <w14:ligatures w14:val="standardContextual"/>
          </w:rPr>
          <w:tab/>
        </w:r>
        <w:r w:rsidRPr="00C26AD3">
          <w:rPr>
            <w:rStyle w:val="Hyperlink"/>
            <w:noProof/>
            <w:lang w:val="en-IN"/>
          </w:rPr>
          <w:t>With the assumption of isolation distance of 1.5km, pre-liminary co-existence evaluation shows relaxed ACIR requirements for both Case 4 and 5.</w:t>
        </w:r>
      </w:hyperlink>
    </w:p>
    <w:p w14:paraId="0549B642" w14:textId="1E10A605" w:rsidR="005A792F" w:rsidRDefault="005A792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5659" w:history="1">
        <w:r w:rsidRPr="00C26AD3">
          <w:rPr>
            <w:rStyle w:val="Hyperlink"/>
            <w:noProof/>
            <w:lang w:val="en-IN"/>
          </w:rPr>
          <w:t>Proposal 3</w:t>
        </w:r>
        <w:r>
          <w:rPr>
            <w:rFonts w:asciiTheme="minorHAnsi" w:eastAsiaTheme="minorEastAsia" w:hAnsiTheme="minorHAnsi"/>
            <w:b w:val="0"/>
            <w:noProof/>
            <w:kern w:val="2"/>
            <w:sz w:val="22"/>
            <w:lang w:val="en-SE" w:eastAsia="en-SE"/>
            <w14:ligatures w14:val="standardContextual"/>
          </w:rPr>
          <w:tab/>
        </w:r>
        <w:r w:rsidRPr="00C26AD3">
          <w:rPr>
            <w:rStyle w:val="Hyperlink"/>
            <w:noProof/>
            <w:lang w:val="en-IN"/>
          </w:rPr>
          <w:t>RAN4 to consider all NR NTN/ NB-IoT NTN UEs as HPUEs, taking it as the worst-case scenario.</w:t>
        </w:r>
      </w:hyperlink>
    </w:p>
    <w:p w14:paraId="77E1B11A" w14:textId="31F471A6" w:rsidR="005A792F" w:rsidRDefault="005A792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5660" w:history="1">
        <w:r w:rsidRPr="00C26AD3">
          <w:rPr>
            <w:rStyle w:val="Hyperlink"/>
            <w:noProof/>
            <w:lang w:val="en-IN"/>
          </w:rPr>
          <w:t>Proposal 4</w:t>
        </w:r>
        <w:r>
          <w:rPr>
            <w:rFonts w:asciiTheme="minorHAnsi" w:eastAsiaTheme="minorEastAsia" w:hAnsiTheme="minorHAnsi"/>
            <w:b w:val="0"/>
            <w:noProof/>
            <w:kern w:val="2"/>
            <w:sz w:val="22"/>
            <w:lang w:val="en-SE" w:eastAsia="en-SE"/>
            <w14:ligatures w14:val="standardContextual"/>
          </w:rPr>
          <w:tab/>
        </w:r>
        <w:r w:rsidRPr="00C26AD3">
          <w:rPr>
            <w:rStyle w:val="Hyperlink"/>
            <w:noProof/>
            <w:lang w:val="en-IN"/>
          </w:rPr>
          <w:t>RAN4 to prioritize wrap around functionality as it impacts the derivation of SINR for victim TN BS.</w:t>
        </w:r>
      </w:hyperlink>
    </w:p>
    <w:p w14:paraId="58ACA235" w14:textId="28543C51" w:rsidR="00C01F33" w:rsidRPr="009752D7" w:rsidRDefault="006E1C82" w:rsidP="009752D7">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8" w:name="_In-sequence_SDU_delivery"/>
      <w:bookmarkEnd w:id="8"/>
      <w:r w:rsidRPr="00CE0424">
        <w:t>References</w:t>
      </w:r>
    </w:p>
    <w:p w14:paraId="2A885CA1" w14:textId="733FE7A8" w:rsidR="00CF2489" w:rsidRPr="006131FB" w:rsidRDefault="00C861BC" w:rsidP="006131FB">
      <w:pPr>
        <w:pStyle w:val="Reference"/>
        <w:numPr>
          <w:ilvl w:val="0"/>
          <w:numId w:val="23"/>
        </w:numPr>
        <w:overflowPunct w:val="0"/>
        <w:autoSpaceDE w:val="0"/>
        <w:autoSpaceDN w:val="0"/>
        <w:adjustRightInd w:val="0"/>
        <w:spacing w:after="180" w:line="240" w:lineRule="auto"/>
        <w:contextualSpacing/>
        <w:textAlignment w:val="baseline"/>
        <w:rPr>
          <w:rFonts w:cs="Arial"/>
        </w:rPr>
      </w:pPr>
      <w:bookmarkStart w:id="9" w:name="_Ref148905441"/>
      <w:bookmarkStart w:id="10" w:name="_Ref163222846"/>
      <w:bookmarkStart w:id="11" w:name="_Ref169870750"/>
      <w:r w:rsidRPr="00457797">
        <w:t>R</w:t>
      </w:r>
      <w:bookmarkStart w:id="12" w:name="_Ref157604664"/>
      <w:bookmarkEnd w:id="9"/>
      <w:bookmarkEnd w:id="10"/>
      <w:r w:rsidRPr="00457797">
        <w:t xml:space="preserve">P-240857, “New WID: Enhanced requirements and test methodology for NR and IoT NTN”, RAN4 </w:t>
      </w:r>
      <w:r w:rsidRPr="00CF2489">
        <w:rPr>
          <w:rFonts w:cs="Arial"/>
        </w:rPr>
        <w:t>chair (Huawei</w:t>
      </w:r>
      <w:bookmarkEnd w:id="11"/>
      <w:bookmarkEnd w:id="12"/>
      <w:r w:rsidR="00CF2489">
        <w:rPr>
          <w:rFonts w:cs="Arial"/>
        </w:rPr>
        <w:t>)</w:t>
      </w:r>
    </w:p>
    <w:p w14:paraId="0E68BF31" w14:textId="2CD1939A" w:rsidR="0084466B" w:rsidRPr="006131FB" w:rsidRDefault="00CF2489" w:rsidP="006131FB">
      <w:pPr>
        <w:pStyle w:val="Reference"/>
        <w:numPr>
          <w:ilvl w:val="0"/>
          <w:numId w:val="23"/>
        </w:numPr>
        <w:tabs>
          <w:tab w:val="left" w:pos="1985"/>
        </w:tabs>
        <w:rPr>
          <w:rFonts w:eastAsia="Calibri" w:cs="Arial"/>
          <w:bCs/>
          <w:szCs w:val="20"/>
          <w:lang w:val="en-GB" w:eastAsia="en-US"/>
        </w:rPr>
      </w:pPr>
      <w:r w:rsidRPr="00CF2489">
        <w:rPr>
          <w:rFonts w:eastAsia="Calibri" w:cs="Arial"/>
          <w:bCs/>
          <w:szCs w:val="20"/>
          <w:lang w:val="en-GB" w:eastAsia="en-US"/>
        </w:rPr>
        <w:t>R</w:t>
      </w:r>
      <w:r>
        <w:rPr>
          <w:rFonts w:eastAsia="Calibri" w:cs="Arial"/>
          <w:bCs/>
          <w:szCs w:val="20"/>
          <w:lang w:val="en-GB" w:eastAsia="en-US"/>
        </w:rPr>
        <w:t>4-2414452</w:t>
      </w:r>
      <w:r w:rsidR="00D418F9">
        <w:rPr>
          <w:rFonts w:eastAsia="Calibri" w:cs="Arial"/>
          <w:bCs/>
          <w:szCs w:val="20"/>
          <w:lang w:val="en-GB" w:eastAsia="en-US"/>
        </w:rPr>
        <w:t>,”WF on UE RF requirements for NTN HPUE”, 3GPP RAN4#112</w:t>
      </w:r>
      <w:r w:rsidR="0084466B">
        <w:rPr>
          <w:rFonts w:eastAsia="Calibri" w:cs="Arial"/>
          <w:bCs/>
          <w:szCs w:val="20"/>
          <w:lang w:val="en-GB" w:eastAsia="en-US"/>
        </w:rPr>
        <w:t>, August 2024</w:t>
      </w:r>
    </w:p>
    <w:p w14:paraId="637B6BE1" w14:textId="77777777" w:rsidR="0084466B" w:rsidRPr="000F7283" w:rsidRDefault="0084466B" w:rsidP="0084466B">
      <w:pPr>
        <w:pStyle w:val="Reference"/>
        <w:numPr>
          <w:ilvl w:val="0"/>
          <w:numId w:val="23"/>
        </w:numPr>
        <w:tabs>
          <w:tab w:val="left" w:pos="1985"/>
        </w:tabs>
        <w:rPr>
          <w:rFonts w:eastAsia="Calibri" w:cs="Arial"/>
          <w:bCs/>
          <w:szCs w:val="20"/>
          <w:lang w:val="en-GB" w:eastAsia="en-US"/>
        </w:rPr>
      </w:pPr>
      <w:r w:rsidRPr="00CF2489">
        <w:rPr>
          <w:rFonts w:cs="Arial"/>
          <w:bCs/>
        </w:rPr>
        <w:t xml:space="preserve">3GPP </w:t>
      </w:r>
      <w:bookmarkStart w:id="13" w:name="specType1"/>
      <w:r w:rsidRPr="00CF2489">
        <w:rPr>
          <w:rFonts w:cs="Arial"/>
          <w:bCs/>
        </w:rPr>
        <w:t>TR</w:t>
      </w:r>
      <w:bookmarkEnd w:id="13"/>
      <w:r w:rsidRPr="00CF2489">
        <w:rPr>
          <w:rFonts w:cs="Arial"/>
          <w:bCs/>
        </w:rPr>
        <w:t xml:space="preserve"> </w:t>
      </w:r>
      <w:bookmarkStart w:id="14" w:name="specNumber"/>
      <w:r w:rsidRPr="00CF2489">
        <w:rPr>
          <w:rFonts w:cs="Arial"/>
          <w:bCs/>
        </w:rPr>
        <w:t>38.8</w:t>
      </w:r>
      <w:bookmarkEnd w:id="14"/>
      <w:r w:rsidRPr="00CF2489">
        <w:rPr>
          <w:rFonts w:cs="Arial"/>
          <w:bCs/>
        </w:rPr>
        <w:t>63 v18.3.0</w:t>
      </w:r>
      <w:r w:rsidRPr="00CF2489">
        <w:rPr>
          <w:rFonts w:cs="Arial"/>
          <w:bCs/>
          <w:lang w:val="en-IN"/>
        </w:rPr>
        <w:t>:</w:t>
      </w:r>
      <w:r w:rsidRPr="00CF2489">
        <w:rPr>
          <w:rFonts w:cs="Arial"/>
          <w:bCs/>
        </w:rPr>
        <w:t xml:space="preserve"> “Solutions for NR to support non-terrestrial networks (NTN): Non-terrestrial networks (NTN) related RF and co-existence aspects”</w:t>
      </w:r>
    </w:p>
    <w:p w14:paraId="2243A4A7" w14:textId="7AC599AF" w:rsidR="000F7283" w:rsidRPr="00CF2489" w:rsidRDefault="00134C69" w:rsidP="0084466B">
      <w:pPr>
        <w:pStyle w:val="Reference"/>
        <w:numPr>
          <w:ilvl w:val="0"/>
          <w:numId w:val="23"/>
        </w:numPr>
        <w:tabs>
          <w:tab w:val="left" w:pos="1985"/>
        </w:tabs>
        <w:rPr>
          <w:rFonts w:eastAsia="Calibri" w:cs="Arial"/>
          <w:bCs/>
          <w:szCs w:val="20"/>
          <w:lang w:val="en-GB" w:eastAsia="en-US"/>
        </w:rPr>
      </w:pPr>
      <w:r w:rsidRPr="00134C69">
        <w:rPr>
          <w:rFonts w:eastAsia="Calibri" w:cs="Arial"/>
          <w:bCs/>
          <w:szCs w:val="20"/>
          <w:lang w:val="en-GB" w:eastAsia="en-US"/>
        </w:rPr>
        <w:t>R4-241617</w:t>
      </w:r>
      <w:r w:rsidR="000E4B53">
        <w:rPr>
          <w:rFonts w:eastAsia="Calibri" w:cs="Arial"/>
          <w:bCs/>
          <w:szCs w:val="20"/>
          <w:lang w:val="en-GB" w:eastAsia="en-US"/>
        </w:rPr>
        <w:t>4</w:t>
      </w:r>
      <w:r>
        <w:rPr>
          <w:rFonts w:eastAsia="Calibri" w:cs="Arial"/>
          <w:bCs/>
          <w:szCs w:val="20"/>
          <w:lang w:val="en-GB" w:eastAsia="en-US"/>
        </w:rPr>
        <w:t>, “</w:t>
      </w:r>
      <w:r w:rsidRPr="00134C69">
        <w:rPr>
          <w:rFonts w:eastAsia="Calibri" w:cs="Arial"/>
          <w:bCs/>
          <w:szCs w:val="20"/>
          <w:lang w:val="en-GB" w:eastAsia="en-US"/>
        </w:rPr>
        <w:t>On Co-existence simulation assumption considerations for NR-NTN and NB-IoT-NTN HP UE</w:t>
      </w:r>
      <w:r>
        <w:rPr>
          <w:rFonts w:eastAsia="Calibri" w:cs="Arial"/>
          <w:bCs/>
          <w:szCs w:val="20"/>
          <w:lang w:val="en-GB" w:eastAsia="en-US"/>
        </w:rPr>
        <w:t>”, 3GPP RAN4#112bis, Ericsson</w:t>
      </w:r>
    </w:p>
    <w:p w14:paraId="3DC6CB0E" w14:textId="77777777" w:rsidR="0084466B" w:rsidRPr="00CF2489" w:rsidRDefault="0084466B" w:rsidP="0084466B">
      <w:pPr>
        <w:pStyle w:val="Reference"/>
        <w:numPr>
          <w:ilvl w:val="0"/>
          <w:numId w:val="0"/>
        </w:numPr>
        <w:tabs>
          <w:tab w:val="left" w:pos="1985"/>
        </w:tabs>
        <w:ind w:left="567"/>
        <w:rPr>
          <w:rFonts w:eastAsia="Calibri" w:cs="Arial"/>
          <w:bCs/>
          <w:szCs w:val="20"/>
          <w:lang w:val="en-GB" w:eastAsia="en-US"/>
        </w:rPr>
      </w:pPr>
    </w:p>
    <w:sectPr w:rsidR="0084466B" w:rsidRPr="00CF248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4088" w14:textId="77777777" w:rsidR="00942899" w:rsidRDefault="00942899">
      <w:r>
        <w:separator/>
      </w:r>
    </w:p>
  </w:endnote>
  <w:endnote w:type="continuationSeparator" w:id="0">
    <w:p w14:paraId="60E4E101" w14:textId="77777777" w:rsidR="00942899" w:rsidRDefault="00942899">
      <w:r>
        <w:continuationSeparator/>
      </w:r>
    </w:p>
  </w:endnote>
  <w:endnote w:type="continuationNotice" w:id="1">
    <w:p w14:paraId="4B03B587" w14:textId="77777777" w:rsidR="00942899" w:rsidRDefault="009428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29228" w14:textId="77777777" w:rsidR="00942899" w:rsidRDefault="00942899">
      <w:r>
        <w:separator/>
      </w:r>
    </w:p>
  </w:footnote>
  <w:footnote w:type="continuationSeparator" w:id="0">
    <w:p w14:paraId="18E23297" w14:textId="77777777" w:rsidR="00942899" w:rsidRDefault="00942899">
      <w:r>
        <w:continuationSeparator/>
      </w:r>
    </w:p>
  </w:footnote>
  <w:footnote w:type="continuationNotice" w:id="1">
    <w:p w14:paraId="0C351131" w14:textId="77777777" w:rsidR="00942899" w:rsidRDefault="009428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945D7"/>
    <w:multiLevelType w:val="multilevel"/>
    <w:tmpl w:val="F7FC2A0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5BF1296"/>
    <w:multiLevelType w:val="hybridMultilevel"/>
    <w:tmpl w:val="63AEA8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A7F4D44"/>
    <w:multiLevelType w:val="multilevel"/>
    <w:tmpl w:val="E26E2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82192579">
    <w:abstractNumId w:val="3"/>
  </w:num>
  <w:num w:numId="2" w16cid:durableId="1278096255">
    <w:abstractNumId w:val="15"/>
  </w:num>
  <w:num w:numId="3" w16cid:durableId="1676414861">
    <w:abstractNumId w:val="11"/>
  </w:num>
  <w:num w:numId="4" w16cid:durableId="558132532">
    <w:abstractNumId w:val="12"/>
  </w:num>
  <w:num w:numId="5" w16cid:durableId="1477843193">
    <w:abstractNumId w:val="8"/>
  </w:num>
  <w:num w:numId="6" w16cid:durableId="1719162165">
    <w:abstractNumId w:val="14"/>
  </w:num>
  <w:num w:numId="7" w16cid:durableId="1862695921">
    <w:abstractNumId w:val="19"/>
  </w:num>
  <w:num w:numId="8" w16cid:durableId="1089421710">
    <w:abstractNumId w:val="9"/>
  </w:num>
  <w:num w:numId="9" w16cid:durableId="1840466297">
    <w:abstractNumId w:val="7"/>
  </w:num>
  <w:num w:numId="10" w16cid:durableId="1213884409">
    <w:abstractNumId w:val="2"/>
  </w:num>
  <w:num w:numId="11" w16cid:durableId="1641496103">
    <w:abstractNumId w:val="1"/>
  </w:num>
  <w:num w:numId="12" w16cid:durableId="551187082">
    <w:abstractNumId w:val="0"/>
  </w:num>
  <w:num w:numId="13" w16cid:durableId="1525050804">
    <w:abstractNumId w:val="16"/>
  </w:num>
  <w:num w:numId="14" w16cid:durableId="555974512">
    <w:abstractNumId w:val="17"/>
  </w:num>
  <w:num w:numId="15" w16cid:durableId="1218931161">
    <w:abstractNumId w:val="13"/>
  </w:num>
  <w:num w:numId="16" w16cid:durableId="716128075">
    <w:abstractNumId w:val="20"/>
  </w:num>
  <w:num w:numId="17" w16cid:durableId="45373282">
    <w:abstractNumId w:val="5"/>
  </w:num>
  <w:num w:numId="18" w16cid:durableId="1781224603">
    <w:abstractNumId w:val="6"/>
  </w:num>
  <w:num w:numId="19" w16cid:durableId="252131021">
    <w:abstractNumId w:val="4"/>
  </w:num>
  <w:num w:numId="20" w16cid:durableId="317268146">
    <w:abstractNumId w:val="24"/>
  </w:num>
  <w:num w:numId="21" w16cid:durableId="1211725163">
    <w:abstractNumId w:val="10"/>
  </w:num>
  <w:num w:numId="22" w16cid:durableId="1228538917">
    <w:abstractNumId w:val="23"/>
  </w:num>
  <w:num w:numId="23" w16cid:durableId="6073931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9106611">
    <w:abstractNumId w:val="22"/>
    <w:lvlOverride w:ilvl="0">
      <w:startOverride w:val="1"/>
    </w:lvlOverride>
  </w:num>
  <w:num w:numId="25" w16cid:durableId="195041355">
    <w:abstractNumId w:val="18"/>
  </w:num>
  <w:num w:numId="26" w16cid:durableId="164052594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098C"/>
    <w:rsid w:val="0002564D"/>
    <w:rsid w:val="00025ECA"/>
    <w:rsid w:val="00030F00"/>
    <w:rsid w:val="000325B8"/>
    <w:rsid w:val="00034C15"/>
    <w:rsid w:val="00036BA1"/>
    <w:rsid w:val="000422E2"/>
    <w:rsid w:val="00042F22"/>
    <w:rsid w:val="000444EF"/>
    <w:rsid w:val="00052A07"/>
    <w:rsid w:val="000534E3"/>
    <w:rsid w:val="0005443F"/>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A13"/>
    <w:rsid w:val="000C13A2"/>
    <w:rsid w:val="000C165A"/>
    <w:rsid w:val="000C2E19"/>
    <w:rsid w:val="000C79E8"/>
    <w:rsid w:val="000D0D07"/>
    <w:rsid w:val="000D4797"/>
    <w:rsid w:val="000E0527"/>
    <w:rsid w:val="000E1E92"/>
    <w:rsid w:val="000E4B53"/>
    <w:rsid w:val="000F06D6"/>
    <w:rsid w:val="000F0EB1"/>
    <w:rsid w:val="000F1106"/>
    <w:rsid w:val="000F3BE9"/>
    <w:rsid w:val="000F3F6C"/>
    <w:rsid w:val="000F6DF3"/>
    <w:rsid w:val="000F728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C69"/>
    <w:rsid w:val="00135252"/>
    <w:rsid w:val="00137AB5"/>
    <w:rsid w:val="00137F0B"/>
    <w:rsid w:val="00144BE1"/>
    <w:rsid w:val="00146BF5"/>
    <w:rsid w:val="001477B9"/>
    <w:rsid w:val="00151E23"/>
    <w:rsid w:val="001526E0"/>
    <w:rsid w:val="00152A67"/>
    <w:rsid w:val="00153AF6"/>
    <w:rsid w:val="001551B5"/>
    <w:rsid w:val="001555D7"/>
    <w:rsid w:val="001614B1"/>
    <w:rsid w:val="001630A9"/>
    <w:rsid w:val="001659C1"/>
    <w:rsid w:val="00173A8E"/>
    <w:rsid w:val="0017502C"/>
    <w:rsid w:val="0018143F"/>
    <w:rsid w:val="00181FF8"/>
    <w:rsid w:val="00187517"/>
    <w:rsid w:val="00187A23"/>
    <w:rsid w:val="00190AC1"/>
    <w:rsid w:val="0019341A"/>
    <w:rsid w:val="00195AF7"/>
    <w:rsid w:val="00197DF9"/>
    <w:rsid w:val="001A1987"/>
    <w:rsid w:val="001A2564"/>
    <w:rsid w:val="001A6173"/>
    <w:rsid w:val="001A6CBA"/>
    <w:rsid w:val="001B0D97"/>
    <w:rsid w:val="001B5A5D"/>
    <w:rsid w:val="001C1CE5"/>
    <w:rsid w:val="001C3D2A"/>
    <w:rsid w:val="001D2850"/>
    <w:rsid w:val="001D3109"/>
    <w:rsid w:val="001D51BA"/>
    <w:rsid w:val="001D5316"/>
    <w:rsid w:val="001D53E7"/>
    <w:rsid w:val="001D6342"/>
    <w:rsid w:val="001D6484"/>
    <w:rsid w:val="001D6D53"/>
    <w:rsid w:val="001E58E2"/>
    <w:rsid w:val="001E7AED"/>
    <w:rsid w:val="001F3916"/>
    <w:rsid w:val="001F54C5"/>
    <w:rsid w:val="001F662C"/>
    <w:rsid w:val="001F7074"/>
    <w:rsid w:val="00200490"/>
    <w:rsid w:val="00201F3A"/>
    <w:rsid w:val="00203F96"/>
    <w:rsid w:val="002069B2"/>
    <w:rsid w:val="00207FA3"/>
    <w:rsid w:val="00213867"/>
    <w:rsid w:val="00214DA8"/>
    <w:rsid w:val="00215423"/>
    <w:rsid w:val="002158FA"/>
    <w:rsid w:val="00220600"/>
    <w:rsid w:val="002224DB"/>
    <w:rsid w:val="002232F9"/>
    <w:rsid w:val="00223FCB"/>
    <w:rsid w:val="002252C3"/>
    <w:rsid w:val="00225C54"/>
    <w:rsid w:val="00230765"/>
    <w:rsid w:val="00230D18"/>
    <w:rsid w:val="002319E4"/>
    <w:rsid w:val="00235632"/>
    <w:rsid w:val="00235872"/>
    <w:rsid w:val="00241559"/>
    <w:rsid w:val="00242C6C"/>
    <w:rsid w:val="002435B3"/>
    <w:rsid w:val="002458EB"/>
    <w:rsid w:val="002500C8"/>
    <w:rsid w:val="00257543"/>
    <w:rsid w:val="00257545"/>
    <w:rsid w:val="002617E7"/>
    <w:rsid w:val="00262E43"/>
    <w:rsid w:val="00264228"/>
    <w:rsid w:val="00264334"/>
    <w:rsid w:val="0026473E"/>
    <w:rsid w:val="00265BFB"/>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6FCA"/>
    <w:rsid w:val="002D7637"/>
    <w:rsid w:val="002E16EC"/>
    <w:rsid w:val="002E17F2"/>
    <w:rsid w:val="002E592D"/>
    <w:rsid w:val="002E7CAE"/>
    <w:rsid w:val="002F13E4"/>
    <w:rsid w:val="002F2771"/>
    <w:rsid w:val="002F37A9"/>
    <w:rsid w:val="00301071"/>
    <w:rsid w:val="00301CE6"/>
    <w:rsid w:val="0030256B"/>
    <w:rsid w:val="0030501F"/>
    <w:rsid w:val="00307BA1"/>
    <w:rsid w:val="00307E9C"/>
    <w:rsid w:val="00311702"/>
    <w:rsid w:val="00311E82"/>
    <w:rsid w:val="00313FD6"/>
    <w:rsid w:val="003143BD"/>
    <w:rsid w:val="00315363"/>
    <w:rsid w:val="00320224"/>
    <w:rsid w:val="003203ED"/>
    <w:rsid w:val="00322C9F"/>
    <w:rsid w:val="00324D23"/>
    <w:rsid w:val="00331751"/>
    <w:rsid w:val="00333740"/>
    <w:rsid w:val="00334579"/>
    <w:rsid w:val="00335858"/>
    <w:rsid w:val="00336BDA"/>
    <w:rsid w:val="00342BD7"/>
    <w:rsid w:val="0034455D"/>
    <w:rsid w:val="00346DB5"/>
    <w:rsid w:val="003477B1"/>
    <w:rsid w:val="00354EF2"/>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015"/>
    <w:rsid w:val="003E15FA"/>
    <w:rsid w:val="003E55E4"/>
    <w:rsid w:val="003E5AFC"/>
    <w:rsid w:val="003E74E3"/>
    <w:rsid w:val="003F05C7"/>
    <w:rsid w:val="003F2CD4"/>
    <w:rsid w:val="003F6BBE"/>
    <w:rsid w:val="004000E8"/>
    <w:rsid w:val="00401520"/>
    <w:rsid w:val="00402E2B"/>
    <w:rsid w:val="0040512B"/>
    <w:rsid w:val="00405CA5"/>
    <w:rsid w:val="00405F20"/>
    <w:rsid w:val="00407734"/>
    <w:rsid w:val="00407CD3"/>
    <w:rsid w:val="00410134"/>
    <w:rsid w:val="004107E7"/>
    <w:rsid w:val="00410B72"/>
    <w:rsid w:val="00410F18"/>
    <w:rsid w:val="0041263E"/>
    <w:rsid w:val="00413AAC"/>
    <w:rsid w:val="00413E92"/>
    <w:rsid w:val="00421105"/>
    <w:rsid w:val="00421495"/>
    <w:rsid w:val="00422AA4"/>
    <w:rsid w:val="004242F4"/>
    <w:rsid w:val="00427248"/>
    <w:rsid w:val="0043139B"/>
    <w:rsid w:val="00437447"/>
    <w:rsid w:val="0044006A"/>
    <w:rsid w:val="00441A92"/>
    <w:rsid w:val="004431DC"/>
    <w:rsid w:val="0044386F"/>
    <w:rsid w:val="00444426"/>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A16BC"/>
    <w:rsid w:val="004A2B94"/>
    <w:rsid w:val="004A308C"/>
    <w:rsid w:val="004B0B79"/>
    <w:rsid w:val="004B6F6A"/>
    <w:rsid w:val="004B7C0C"/>
    <w:rsid w:val="004C3090"/>
    <w:rsid w:val="004C31DD"/>
    <w:rsid w:val="004C3898"/>
    <w:rsid w:val="004C72A3"/>
    <w:rsid w:val="004D36B1"/>
    <w:rsid w:val="004D4334"/>
    <w:rsid w:val="004D7EBD"/>
    <w:rsid w:val="004E2680"/>
    <w:rsid w:val="004E28F9"/>
    <w:rsid w:val="004E462E"/>
    <w:rsid w:val="004E56DC"/>
    <w:rsid w:val="004E76F4"/>
    <w:rsid w:val="004F0B4E"/>
    <w:rsid w:val="004F0B6C"/>
    <w:rsid w:val="004F2078"/>
    <w:rsid w:val="004F4DA3"/>
    <w:rsid w:val="00506557"/>
    <w:rsid w:val="0050677A"/>
    <w:rsid w:val="00507948"/>
    <w:rsid w:val="005108D8"/>
    <w:rsid w:val="005116F9"/>
    <w:rsid w:val="005153A7"/>
    <w:rsid w:val="00520767"/>
    <w:rsid w:val="00520872"/>
    <w:rsid w:val="005219CF"/>
    <w:rsid w:val="00534B59"/>
    <w:rsid w:val="00536759"/>
    <w:rsid w:val="00537C62"/>
    <w:rsid w:val="005459B3"/>
    <w:rsid w:val="00546970"/>
    <w:rsid w:val="00551E9A"/>
    <w:rsid w:val="00554E19"/>
    <w:rsid w:val="00560520"/>
    <w:rsid w:val="0056121F"/>
    <w:rsid w:val="00572505"/>
    <w:rsid w:val="00582809"/>
    <w:rsid w:val="0058798C"/>
    <w:rsid w:val="005900FA"/>
    <w:rsid w:val="005935A4"/>
    <w:rsid w:val="005948C2"/>
    <w:rsid w:val="00595DCA"/>
    <w:rsid w:val="0059779B"/>
    <w:rsid w:val="005A209A"/>
    <w:rsid w:val="005A662D"/>
    <w:rsid w:val="005A792F"/>
    <w:rsid w:val="005B1409"/>
    <w:rsid w:val="005B35D7"/>
    <w:rsid w:val="005B392A"/>
    <w:rsid w:val="005B3AA3"/>
    <w:rsid w:val="005B6F83"/>
    <w:rsid w:val="005C74FB"/>
    <w:rsid w:val="005D0750"/>
    <w:rsid w:val="005D1602"/>
    <w:rsid w:val="005D4F78"/>
    <w:rsid w:val="005E213D"/>
    <w:rsid w:val="005E385F"/>
    <w:rsid w:val="005E3A24"/>
    <w:rsid w:val="005E5B81"/>
    <w:rsid w:val="005F2CB1"/>
    <w:rsid w:val="005F3025"/>
    <w:rsid w:val="005F618C"/>
    <w:rsid w:val="005F70BD"/>
    <w:rsid w:val="00600BC9"/>
    <w:rsid w:val="0060283C"/>
    <w:rsid w:val="0060492D"/>
    <w:rsid w:val="00604F14"/>
    <w:rsid w:val="00611B83"/>
    <w:rsid w:val="006131FB"/>
    <w:rsid w:val="00613257"/>
    <w:rsid w:val="00620A71"/>
    <w:rsid w:val="00620D80"/>
    <w:rsid w:val="006234A6"/>
    <w:rsid w:val="00630001"/>
    <w:rsid w:val="006311B3"/>
    <w:rsid w:val="0063284C"/>
    <w:rsid w:val="00636398"/>
    <w:rsid w:val="006368D3"/>
    <w:rsid w:val="006377EC"/>
    <w:rsid w:val="00640498"/>
    <w:rsid w:val="00640C91"/>
    <w:rsid w:val="006414B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C1"/>
    <w:rsid w:val="006627A2"/>
    <w:rsid w:val="006634E6"/>
    <w:rsid w:val="00665177"/>
    <w:rsid w:val="006655EE"/>
    <w:rsid w:val="00666723"/>
    <w:rsid w:val="00667EE7"/>
    <w:rsid w:val="00670922"/>
    <w:rsid w:val="00670BE1"/>
    <w:rsid w:val="0067218F"/>
    <w:rsid w:val="006741F2"/>
    <w:rsid w:val="00674CC3"/>
    <w:rsid w:val="00674D9C"/>
    <w:rsid w:val="00675C72"/>
    <w:rsid w:val="006771F9"/>
    <w:rsid w:val="006776D7"/>
    <w:rsid w:val="00681003"/>
    <w:rsid w:val="006817C9"/>
    <w:rsid w:val="006829C0"/>
    <w:rsid w:val="00683ECE"/>
    <w:rsid w:val="00695FC2"/>
    <w:rsid w:val="00696949"/>
    <w:rsid w:val="00697052"/>
    <w:rsid w:val="006A46FB"/>
    <w:rsid w:val="006A5E28"/>
    <w:rsid w:val="006A697B"/>
    <w:rsid w:val="006A7AFF"/>
    <w:rsid w:val="006B11C6"/>
    <w:rsid w:val="006B1816"/>
    <w:rsid w:val="006B2099"/>
    <w:rsid w:val="006B366B"/>
    <w:rsid w:val="006B50CF"/>
    <w:rsid w:val="006C03B8"/>
    <w:rsid w:val="006C5EC9"/>
    <w:rsid w:val="006C6059"/>
    <w:rsid w:val="006C7522"/>
    <w:rsid w:val="006D6F08"/>
    <w:rsid w:val="006E062C"/>
    <w:rsid w:val="006E1C82"/>
    <w:rsid w:val="006E28B7"/>
    <w:rsid w:val="006E2A9B"/>
    <w:rsid w:val="006E3310"/>
    <w:rsid w:val="006E4E39"/>
    <w:rsid w:val="006E565E"/>
    <w:rsid w:val="006E5D2A"/>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4BCC"/>
    <w:rsid w:val="00785490"/>
    <w:rsid w:val="007925EA"/>
    <w:rsid w:val="00793CD8"/>
    <w:rsid w:val="00794552"/>
    <w:rsid w:val="00795C92"/>
    <w:rsid w:val="00796231"/>
    <w:rsid w:val="00797173"/>
    <w:rsid w:val="007A1CB3"/>
    <w:rsid w:val="007A306F"/>
    <w:rsid w:val="007A43A6"/>
    <w:rsid w:val="007A44B6"/>
    <w:rsid w:val="007A5258"/>
    <w:rsid w:val="007A58A6"/>
    <w:rsid w:val="007B23C8"/>
    <w:rsid w:val="007B2B13"/>
    <w:rsid w:val="007B3D2D"/>
    <w:rsid w:val="007B50AE"/>
    <w:rsid w:val="007B51DF"/>
    <w:rsid w:val="007C05DD"/>
    <w:rsid w:val="007C22FB"/>
    <w:rsid w:val="007C3D18"/>
    <w:rsid w:val="007C60BF"/>
    <w:rsid w:val="007C610C"/>
    <w:rsid w:val="007C6A07"/>
    <w:rsid w:val="007C75A1"/>
    <w:rsid w:val="007C77A5"/>
    <w:rsid w:val="007D04E5"/>
    <w:rsid w:val="007D5901"/>
    <w:rsid w:val="007D7526"/>
    <w:rsid w:val="007E4610"/>
    <w:rsid w:val="007E4715"/>
    <w:rsid w:val="007E505B"/>
    <w:rsid w:val="007E7091"/>
    <w:rsid w:val="007F1B2C"/>
    <w:rsid w:val="007F4012"/>
    <w:rsid w:val="007F7179"/>
    <w:rsid w:val="00803FAE"/>
    <w:rsid w:val="0080605F"/>
    <w:rsid w:val="00807786"/>
    <w:rsid w:val="00811FCB"/>
    <w:rsid w:val="008145AA"/>
    <w:rsid w:val="008158D6"/>
    <w:rsid w:val="00817196"/>
    <w:rsid w:val="008235DB"/>
    <w:rsid w:val="00824AB4"/>
    <w:rsid w:val="00825C42"/>
    <w:rsid w:val="00825D25"/>
    <w:rsid w:val="00827D6F"/>
    <w:rsid w:val="008358DD"/>
    <w:rsid w:val="008376AC"/>
    <w:rsid w:val="00841994"/>
    <w:rsid w:val="008444E8"/>
    <w:rsid w:val="0084466B"/>
    <w:rsid w:val="00844E80"/>
    <w:rsid w:val="00846FE7"/>
    <w:rsid w:val="008516EA"/>
    <w:rsid w:val="00856911"/>
    <w:rsid w:val="00863AB9"/>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29D"/>
    <w:rsid w:val="008C0C99"/>
    <w:rsid w:val="008C2017"/>
    <w:rsid w:val="008C3183"/>
    <w:rsid w:val="008C4958"/>
    <w:rsid w:val="008C4BAA"/>
    <w:rsid w:val="008C6AE8"/>
    <w:rsid w:val="008C7573"/>
    <w:rsid w:val="008D00A5"/>
    <w:rsid w:val="008D34F1"/>
    <w:rsid w:val="008D39D8"/>
    <w:rsid w:val="008D6D1A"/>
    <w:rsid w:val="008D6F8D"/>
    <w:rsid w:val="008E065E"/>
    <w:rsid w:val="008E0927"/>
    <w:rsid w:val="008E1909"/>
    <w:rsid w:val="008F1C4E"/>
    <w:rsid w:val="008F1EAB"/>
    <w:rsid w:val="008F33DC"/>
    <w:rsid w:val="008F477F"/>
    <w:rsid w:val="00902350"/>
    <w:rsid w:val="0090336B"/>
    <w:rsid w:val="009053AA"/>
    <w:rsid w:val="00906939"/>
    <w:rsid w:val="00906F1D"/>
    <w:rsid w:val="009103A5"/>
    <w:rsid w:val="00910B7D"/>
    <w:rsid w:val="00911DFB"/>
    <w:rsid w:val="0091245D"/>
    <w:rsid w:val="009139D9"/>
    <w:rsid w:val="00914AD8"/>
    <w:rsid w:val="00916079"/>
    <w:rsid w:val="00917CE9"/>
    <w:rsid w:val="0092075B"/>
    <w:rsid w:val="00920BF2"/>
    <w:rsid w:val="00922010"/>
    <w:rsid w:val="00926461"/>
    <w:rsid w:val="00926B60"/>
    <w:rsid w:val="00931BD9"/>
    <w:rsid w:val="009368F3"/>
    <w:rsid w:val="00941636"/>
    <w:rsid w:val="00942899"/>
    <w:rsid w:val="00943742"/>
    <w:rsid w:val="00945C05"/>
    <w:rsid w:val="00946945"/>
    <w:rsid w:val="00947713"/>
    <w:rsid w:val="00950DE7"/>
    <w:rsid w:val="00953920"/>
    <w:rsid w:val="00953D47"/>
    <w:rsid w:val="0095681E"/>
    <w:rsid w:val="009572D4"/>
    <w:rsid w:val="00961921"/>
    <w:rsid w:val="0096430A"/>
    <w:rsid w:val="00964E9D"/>
    <w:rsid w:val="0096554B"/>
    <w:rsid w:val="0096584A"/>
    <w:rsid w:val="00967E5D"/>
    <w:rsid w:val="00971F08"/>
    <w:rsid w:val="009752D7"/>
    <w:rsid w:val="0097603D"/>
    <w:rsid w:val="00976872"/>
    <w:rsid w:val="00976949"/>
    <w:rsid w:val="00980477"/>
    <w:rsid w:val="00981100"/>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814"/>
    <w:rsid w:val="009C403E"/>
    <w:rsid w:val="009C6C4C"/>
    <w:rsid w:val="009D4FF0"/>
    <w:rsid w:val="009D703C"/>
    <w:rsid w:val="009D718F"/>
    <w:rsid w:val="009E068F"/>
    <w:rsid w:val="009E14E0"/>
    <w:rsid w:val="009E2244"/>
    <w:rsid w:val="009E35DB"/>
    <w:rsid w:val="009E47A3"/>
    <w:rsid w:val="009E61CB"/>
    <w:rsid w:val="009F08F3"/>
    <w:rsid w:val="009F344F"/>
    <w:rsid w:val="00A031D8"/>
    <w:rsid w:val="00A0332C"/>
    <w:rsid w:val="00A048A8"/>
    <w:rsid w:val="00A04F49"/>
    <w:rsid w:val="00A13E54"/>
    <w:rsid w:val="00A15E46"/>
    <w:rsid w:val="00A17F63"/>
    <w:rsid w:val="00A2193B"/>
    <w:rsid w:val="00A2351A"/>
    <w:rsid w:val="00A264A9"/>
    <w:rsid w:val="00A26DCF"/>
    <w:rsid w:val="00A27785"/>
    <w:rsid w:val="00A30187"/>
    <w:rsid w:val="00A3448A"/>
    <w:rsid w:val="00A35700"/>
    <w:rsid w:val="00A36297"/>
    <w:rsid w:val="00A41E2B"/>
    <w:rsid w:val="00A45B74"/>
    <w:rsid w:val="00A52E1D"/>
    <w:rsid w:val="00A61499"/>
    <w:rsid w:val="00A62A77"/>
    <w:rsid w:val="00A63483"/>
    <w:rsid w:val="00A6453B"/>
    <w:rsid w:val="00A657AC"/>
    <w:rsid w:val="00A657D7"/>
    <w:rsid w:val="00A660AC"/>
    <w:rsid w:val="00A67E6C"/>
    <w:rsid w:val="00A71B99"/>
    <w:rsid w:val="00A739D0"/>
    <w:rsid w:val="00A761D4"/>
    <w:rsid w:val="00A77EC4"/>
    <w:rsid w:val="00A92879"/>
    <w:rsid w:val="00A9442A"/>
    <w:rsid w:val="00AA016F"/>
    <w:rsid w:val="00AA0553"/>
    <w:rsid w:val="00AA1ED6"/>
    <w:rsid w:val="00AA51D6"/>
    <w:rsid w:val="00AA564F"/>
    <w:rsid w:val="00AB0BC8"/>
    <w:rsid w:val="00AB11CA"/>
    <w:rsid w:val="00AB14D9"/>
    <w:rsid w:val="00AB1F2A"/>
    <w:rsid w:val="00AB4AB8"/>
    <w:rsid w:val="00AB63D1"/>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1884"/>
    <w:rsid w:val="00B02AA9"/>
    <w:rsid w:val="00B02FA3"/>
    <w:rsid w:val="00B05084"/>
    <w:rsid w:val="00B157F9"/>
    <w:rsid w:val="00B20256"/>
    <w:rsid w:val="00B20D09"/>
    <w:rsid w:val="00B2757F"/>
    <w:rsid w:val="00B2763F"/>
    <w:rsid w:val="00B27AAC"/>
    <w:rsid w:val="00B307FA"/>
    <w:rsid w:val="00B30929"/>
    <w:rsid w:val="00B372AA"/>
    <w:rsid w:val="00B40445"/>
    <w:rsid w:val="00B409E0"/>
    <w:rsid w:val="00B41888"/>
    <w:rsid w:val="00B45A52"/>
    <w:rsid w:val="00B46175"/>
    <w:rsid w:val="00B468AB"/>
    <w:rsid w:val="00B548B7"/>
    <w:rsid w:val="00B664C7"/>
    <w:rsid w:val="00B713D8"/>
    <w:rsid w:val="00B739F6"/>
    <w:rsid w:val="00B81A6C"/>
    <w:rsid w:val="00B85DE5"/>
    <w:rsid w:val="00B90F73"/>
    <w:rsid w:val="00B93B59"/>
    <w:rsid w:val="00B9406A"/>
    <w:rsid w:val="00BA2280"/>
    <w:rsid w:val="00BA2A08"/>
    <w:rsid w:val="00BA4538"/>
    <w:rsid w:val="00BA56D2"/>
    <w:rsid w:val="00BA6D91"/>
    <w:rsid w:val="00BA76E0"/>
    <w:rsid w:val="00BB2A25"/>
    <w:rsid w:val="00BB51E9"/>
    <w:rsid w:val="00BC0FDC"/>
    <w:rsid w:val="00BC3053"/>
    <w:rsid w:val="00BC3C38"/>
    <w:rsid w:val="00BC4D2E"/>
    <w:rsid w:val="00BD48AC"/>
    <w:rsid w:val="00BD5975"/>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86F"/>
    <w:rsid w:val="00C061B3"/>
    <w:rsid w:val="00C07377"/>
    <w:rsid w:val="00C10478"/>
    <w:rsid w:val="00C12107"/>
    <w:rsid w:val="00C14D4B"/>
    <w:rsid w:val="00C154BB"/>
    <w:rsid w:val="00C21252"/>
    <w:rsid w:val="00C279B5"/>
    <w:rsid w:val="00C27C45"/>
    <w:rsid w:val="00C3719D"/>
    <w:rsid w:val="00C37CB2"/>
    <w:rsid w:val="00C473A5"/>
    <w:rsid w:val="00C54995"/>
    <w:rsid w:val="00C54D41"/>
    <w:rsid w:val="00C55A38"/>
    <w:rsid w:val="00C60783"/>
    <w:rsid w:val="00C64672"/>
    <w:rsid w:val="00C70697"/>
    <w:rsid w:val="00C72093"/>
    <w:rsid w:val="00C72EF4"/>
    <w:rsid w:val="00C744FE"/>
    <w:rsid w:val="00C75D2F"/>
    <w:rsid w:val="00C767BE"/>
    <w:rsid w:val="00C76E3C"/>
    <w:rsid w:val="00C81568"/>
    <w:rsid w:val="00C84EBF"/>
    <w:rsid w:val="00C861BC"/>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0881"/>
    <w:rsid w:val="00CD1188"/>
    <w:rsid w:val="00CD2ED1"/>
    <w:rsid w:val="00CD337B"/>
    <w:rsid w:val="00CE0424"/>
    <w:rsid w:val="00CE10C3"/>
    <w:rsid w:val="00CE595A"/>
    <w:rsid w:val="00CE7561"/>
    <w:rsid w:val="00CF1354"/>
    <w:rsid w:val="00CF2489"/>
    <w:rsid w:val="00CF3B1F"/>
    <w:rsid w:val="00CF3BF6"/>
    <w:rsid w:val="00CF625B"/>
    <w:rsid w:val="00CF687E"/>
    <w:rsid w:val="00D0158D"/>
    <w:rsid w:val="00D0349B"/>
    <w:rsid w:val="00D10249"/>
    <w:rsid w:val="00D115C3"/>
    <w:rsid w:val="00D11897"/>
    <w:rsid w:val="00D13135"/>
    <w:rsid w:val="00D13E4E"/>
    <w:rsid w:val="00D22038"/>
    <w:rsid w:val="00D239A7"/>
    <w:rsid w:val="00D23F47"/>
    <w:rsid w:val="00D3157B"/>
    <w:rsid w:val="00D36E71"/>
    <w:rsid w:val="00D37D87"/>
    <w:rsid w:val="00D40B33"/>
    <w:rsid w:val="00D418F9"/>
    <w:rsid w:val="00D4318F"/>
    <w:rsid w:val="00D438BF"/>
    <w:rsid w:val="00D440F8"/>
    <w:rsid w:val="00D546FF"/>
    <w:rsid w:val="00D55AD5"/>
    <w:rsid w:val="00D576CA"/>
    <w:rsid w:val="00D61AF5"/>
    <w:rsid w:val="00D652B5"/>
    <w:rsid w:val="00D66155"/>
    <w:rsid w:val="00D66450"/>
    <w:rsid w:val="00D708B0"/>
    <w:rsid w:val="00D77B1D"/>
    <w:rsid w:val="00D8021F"/>
    <w:rsid w:val="00D80383"/>
    <w:rsid w:val="00D823C6"/>
    <w:rsid w:val="00D829B0"/>
    <w:rsid w:val="00D8327F"/>
    <w:rsid w:val="00D868FE"/>
    <w:rsid w:val="00D86CA3"/>
    <w:rsid w:val="00D871CE"/>
    <w:rsid w:val="00D9196D"/>
    <w:rsid w:val="00D92982"/>
    <w:rsid w:val="00D97D8D"/>
    <w:rsid w:val="00DA305E"/>
    <w:rsid w:val="00DA5417"/>
    <w:rsid w:val="00DA56E8"/>
    <w:rsid w:val="00DB0A9F"/>
    <w:rsid w:val="00DB377D"/>
    <w:rsid w:val="00DB4190"/>
    <w:rsid w:val="00DB7D16"/>
    <w:rsid w:val="00DC2D36"/>
    <w:rsid w:val="00DC53EF"/>
    <w:rsid w:val="00DE5608"/>
    <w:rsid w:val="00DE58D0"/>
    <w:rsid w:val="00DE654F"/>
    <w:rsid w:val="00DF0B6E"/>
    <w:rsid w:val="00DF15E0"/>
    <w:rsid w:val="00DF37A0"/>
    <w:rsid w:val="00DF6D9F"/>
    <w:rsid w:val="00E0514C"/>
    <w:rsid w:val="00E110E7"/>
    <w:rsid w:val="00E11B20"/>
    <w:rsid w:val="00E17FA2"/>
    <w:rsid w:val="00E22330"/>
    <w:rsid w:val="00E24B1F"/>
    <w:rsid w:val="00E30B5A"/>
    <w:rsid w:val="00E3123D"/>
    <w:rsid w:val="00E31461"/>
    <w:rsid w:val="00E31D43"/>
    <w:rsid w:val="00E32608"/>
    <w:rsid w:val="00E34188"/>
    <w:rsid w:val="00E34B6E"/>
    <w:rsid w:val="00E35559"/>
    <w:rsid w:val="00E3723A"/>
    <w:rsid w:val="00E37860"/>
    <w:rsid w:val="00E43900"/>
    <w:rsid w:val="00E446F1"/>
    <w:rsid w:val="00E46886"/>
    <w:rsid w:val="00E47AEF"/>
    <w:rsid w:val="00E53B75"/>
    <w:rsid w:val="00E54E3B"/>
    <w:rsid w:val="00E57565"/>
    <w:rsid w:val="00E63838"/>
    <w:rsid w:val="00E64434"/>
    <w:rsid w:val="00E67C51"/>
    <w:rsid w:val="00E72EFC"/>
    <w:rsid w:val="00E758EC"/>
    <w:rsid w:val="00E76600"/>
    <w:rsid w:val="00E81FFA"/>
    <w:rsid w:val="00E8234C"/>
    <w:rsid w:val="00E83AA9"/>
    <w:rsid w:val="00E85928"/>
    <w:rsid w:val="00E86FAD"/>
    <w:rsid w:val="00E87822"/>
    <w:rsid w:val="00E90395"/>
    <w:rsid w:val="00E90E49"/>
    <w:rsid w:val="00E917F9"/>
    <w:rsid w:val="00E9291C"/>
    <w:rsid w:val="00E93FFE"/>
    <w:rsid w:val="00E94D80"/>
    <w:rsid w:val="00E94F8A"/>
    <w:rsid w:val="00EA3ADD"/>
    <w:rsid w:val="00EA6C95"/>
    <w:rsid w:val="00EA7A41"/>
    <w:rsid w:val="00EB077B"/>
    <w:rsid w:val="00EB4EA2"/>
    <w:rsid w:val="00EC24D5"/>
    <w:rsid w:val="00EC27C6"/>
    <w:rsid w:val="00EC32FA"/>
    <w:rsid w:val="00EC4207"/>
    <w:rsid w:val="00EC5653"/>
    <w:rsid w:val="00EC71CE"/>
    <w:rsid w:val="00EC7F6E"/>
    <w:rsid w:val="00ED1006"/>
    <w:rsid w:val="00EF18FE"/>
    <w:rsid w:val="00EF4D05"/>
    <w:rsid w:val="00EF5787"/>
    <w:rsid w:val="00EF60D0"/>
    <w:rsid w:val="00F0528D"/>
    <w:rsid w:val="00F058CD"/>
    <w:rsid w:val="00F06C67"/>
    <w:rsid w:val="00F06DFD"/>
    <w:rsid w:val="00F071D1"/>
    <w:rsid w:val="00F07533"/>
    <w:rsid w:val="00F10629"/>
    <w:rsid w:val="00F15FA5"/>
    <w:rsid w:val="00F209B7"/>
    <w:rsid w:val="00F228FE"/>
    <w:rsid w:val="00F2376F"/>
    <w:rsid w:val="00F243D8"/>
    <w:rsid w:val="00F30828"/>
    <w:rsid w:val="00F313D6"/>
    <w:rsid w:val="00F325DF"/>
    <w:rsid w:val="00F366DB"/>
    <w:rsid w:val="00F40F0C"/>
    <w:rsid w:val="00F4766C"/>
    <w:rsid w:val="00F5060E"/>
    <w:rsid w:val="00F507D1"/>
    <w:rsid w:val="00F519CE"/>
    <w:rsid w:val="00F51ADA"/>
    <w:rsid w:val="00F55E18"/>
    <w:rsid w:val="00F56C43"/>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F2D"/>
    <w:rsid w:val="00FA2761"/>
    <w:rsid w:val="00FA2BB3"/>
    <w:rsid w:val="00FB1AEE"/>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7C3"/>
    <w:rsid w:val="00FF45A5"/>
    <w:rsid w:val="00FF5C91"/>
    <w:rsid w:val="00FF7B7C"/>
    <w:rsid w:val="00FF7D8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LChar">
    <w:name w:val="TAL Char"/>
    <w:qFormat/>
    <w:rsid w:val="009E61CB"/>
    <w:rPr>
      <w:rFonts w:ascii="Arial" w:eastAsia="Times New Roman" w:hAnsi="Arial"/>
      <w:sz w:val="18"/>
      <w:lang w:val="en-GB" w:eastAsia="en-GB"/>
    </w:rPr>
  </w:style>
  <w:style w:type="character" w:customStyle="1" w:styleId="TACChar">
    <w:name w:val="TAC Char"/>
    <w:link w:val="TAC"/>
    <w:qFormat/>
    <w:locked/>
    <w:rsid w:val="009E61CB"/>
    <w:rPr>
      <w:rFonts w:ascii="Arial" w:eastAsiaTheme="minorHAnsi" w:hAnsi="Arial" w:cstheme="minorBidi"/>
      <w:sz w:val="18"/>
      <w:szCs w:val="22"/>
      <w:lang w:val="x-none" w:eastAsia="x-none"/>
    </w:rPr>
  </w:style>
  <w:style w:type="table" w:customStyle="1" w:styleId="1">
    <w:name w:val="网格型1"/>
    <w:basedOn w:val="TableNormal"/>
    <w:qFormat/>
    <w:rsid w:val="009E61CB"/>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26136">
      <w:bodyDiv w:val="1"/>
      <w:marLeft w:val="0"/>
      <w:marRight w:val="0"/>
      <w:marTop w:val="0"/>
      <w:marBottom w:val="0"/>
      <w:divBdr>
        <w:top w:val="none" w:sz="0" w:space="0" w:color="auto"/>
        <w:left w:val="none" w:sz="0" w:space="0" w:color="auto"/>
        <w:bottom w:val="none" w:sz="0" w:space="0" w:color="auto"/>
        <w:right w:val="none" w:sz="0" w:space="0" w:color="auto"/>
      </w:divBdr>
    </w:div>
    <w:div w:id="84733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2f282d3b-eb4a-4b09-b61f-b9593442e286"/>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E53CE06F-6FEC-466C-AA47-BD9DD574E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6</Pages>
  <Words>1160</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168</cp:revision>
  <cp:lastPrinted>2008-01-31T16:09:00Z</cp:lastPrinted>
  <dcterms:created xsi:type="dcterms:W3CDTF">2020-08-14T06:21:00Z</dcterms:created>
  <dcterms:modified xsi:type="dcterms:W3CDTF">2024-10-07T15:47:00Z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006a81bd-b8e5-4bdb-aea1-c62a9b4893a3</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